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F90DD4" w14:textId="77777777" w:rsidR="00426ABE" w:rsidRPr="00426ABE" w:rsidRDefault="00426ABE" w:rsidP="00426ABE">
      <w:pPr>
        <w:spacing w:after="0" w:line="240" w:lineRule="auto"/>
        <w:rPr>
          <w:rFonts w:ascii="Times New Roman" w:eastAsia="Times New Roman" w:hAnsi="Times New Roman" w:cs="Times New Roman"/>
          <w:sz w:val="24"/>
          <w:szCs w:val="24"/>
          <w:lang w:val="en-GB"/>
        </w:rPr>
      </w:pPr>
      <w:r w:rsidRPr="00426ABE">
        <w:rPr>
          <w:rFonts w:ascii="Droid Serif" w:eastAsia="Times New Roman" w:hAnsi="Droid Serif" w:cs="Times New Roman"/>
          <w:b/>
          <w:bCs/>
          <w:color w:val="333333"/>
          <w:sz w:val="50"/>
          <w:szCs w:val="50"/>
          <w:lang w:val="en-GB"/>
        </w:rPr>
        <w:t>Lethal sterility: innovative dehumanisation in legal justifications of Obama’s drone policy</w:t>
      </w:r>
    </w:p>
    <w:p w14:paraId="32F49967" w14:textId="4414668E" w:rsidR="00426ABE" w:rsidRDefault="00426ABE" w:rsidP="00321909">
      <w:pPr>
        <w:spacing w:after="0" w:line="480" w:lineRule="auto"/>
        <w:rPr>
          <w:rFonts w:ascii="Times New Roman" w:hAnsi="Times New Roman" w:cs="Times New Roman"/>
          <w:b/>
          <w:sz w:val="24"/>
          <w:szCs w:val="24"/>
        </w:rPr>
      </w:pPr>
    </w:p>
    <w:p w14:paraId="5DAF28D4" w14:textId="00A24AD9" w:rsidR="00426ABE" w:rsidRDefault="00426ABE" w:rsidP="00321909">
      <w:pPr>
        <w:spacing w:after="0" w:line="480" w:lineRule="auto"/>
        <w:rPr>
          <w:rFonts w:ascii="Times New Roman" w:hAnsi="Times New Roman" w:cs="Times New Roman"/>
          <w:b/>
          <w:sz w:val="24"/>
          <w:szCs w:val="24"/>
        </w:rPr>
      </w:pPr>
      <w:r>
        <w:rPr>
          <w:rFonts w:ascii="Times New Roman" w:hAnsi="Times New Roman" w:cs="Times New Roman"/>
          <w:b/>
          <w:sz w:val="24"/>
          <w:szCs w:val="24"/>
        </w:rPr>
        <w:t>Jeff Bachman and Jack Holland</w:t>
      </w:r>
      <w:bookmarkStart w:id="0" w:name="_GoBack"/>
      <w:bookmarkEnd w:id="0"/>
    </w:p>
    <w:p w14:paraId="63710FF3" w14:textId="77777777" w:rsidR="00426ABE" w:rsidRDefault="00426ABE" w:rsidP="00321909">
      <w:pPr>
        <w:spacing w:after="0" w:line="480" w:lineRule="auto"/>
        <w:rPr>
          <w:rFonts w:ascii="Times New Roman" w:hAnsi="Times New Roman" w:cs="Times New Roman"/>
          <w:b/>
          <w:sz w:val="24"/>
          <w:szCs w:val="24"/>
        </w:rPr>
      </w:pPr>
    </w:p>
    <w:p w14:paraId="6B153242" w14:textId="6CADD27E" w:rsidR="00321909" w:rsidRPr="001A4DF7" w:rsidRDefault="00321909" w:rsidP="00321909">
      <w:pPr>
        <w:spacing w:after="0" w:line="480" w:lineRule="auto"/>
        <w:rPr>
          <w:rFonts w:ascii="Times New Roman" w:hAnsi="Times New Roman" w:cs="Times New Roman"/>
          <w:sz w:val="24"/>
          <w:szCs w:val="24"/>
        </w:rPr>
      </w:pPr>
      <w:r w:rsidRPr="001A4DF7">
        <w:rPr>
          <w:rFonts w:ascii="Times New Roman" w:hAnsi="Times New Roman" w:cs="Times New Roman"/>
          <w:b/>
          <w:sz w:val="24"/>
          <w:szCs w:val="24"/>
        </w:rPr>
        <w:t>Introduction</w:t>
      </w:r>
    </w:p>
    <w:p w14:paraId="2735EDBD" w14:textId="77777777" w:rsidR="00321909" w:rsidRPr="001A4DF7" w:rsidRDefault="00321909" w:rsidP="00321909">
      <w:pPr>
        <w:spacing w:after="0" w:line="480" w:lineRule="auto"/>
        <w:rPr>
          <w:rFonts w:ascii="Times New Roman" w:hAnsi="Times New Roman" w:cs="Times New Roman"/>
          <w:sz w:val="24"/>
          <w:szCs w:val="24"/>
        </w:rPr>
      </w:pPr>
      <w:r w:rsidRPr="001A4DF7">
        <w:rPr>
          <w:rFonts w:ascii="Times New Roman" w:hAnsi="Times New Roman" w:cs="Times New Roman"/>
          <w:sz w:val="24"/>
          <w:szCs w:val="24"/>
        </w:rPr>
        <w:t xml:space="preserve">Philip Alston defines ‘targeted killing’ as the “intentional, premeditated and deliberate use of lethal force, by States or their agents acting under </w:t>
      </w:r>
      <w:proofErr w:type="spellStart"/>
      <w:r w:rsidRPr="001A4DF7">
        <w:rPr>
          <w:rFonts w:ascii="Times New Roman" w:hAnsi="Times New Roman" w:cs="Times New Roman"/>
          <w:sz w:val="24"/>
          <w:szCs w:val="24"/>
        </w:rPr>
        <w:t>colour</w:t>
      </w:r>
      <w:proofErr w:type="spellEnd"/>
      <w:r w:rsidRPr="001A4DF7">
        <w:rPr>
          <w:rFonts w:ascii="Times New Roman" w:hAnsi="Times New Roman" w:cs="Times New Roman"/>
          <w:sz w:val="24"/>
          <w:szCs w:val="24"/>
        </w:rPr>
        <w:t xml:space="preserve"> of law…against a specific individual who is not in the physical custody of the perpetrator.”</w:t>
      </w:r>
      <w:r w:rsidRPr="001A4DF7">
        <w:rPr>
          <w:rStyle w:val="EndnoteReference"/>
          <w:rFonts w:ascii="Times New Roman" w:hAnsi="Times New Roman" w:cs="Times New Roman"/>
          <w:sz w:val="24"/>
          <w:szCs w:val="24"/>
        </w:rPr>
        <w:endnoteReference w:id="1"/>
      </w:r>
      <w:r w:rsidRPr="001A4DF7">
        <w:rPr>
          <w:rFonts w:ascii="Times New Roman" w:hAnsi="Times New Roman" w:cs="Times New Roman"/>
          <w:sz w:val="24"/>
          <w:szCs w:val="24"/>
        </w:rPr>
        <w:t xml:space="preserve"> Less sanguine descriptions for the act of premeditatively targeting suspect individuals have included ‘extrajudicial execution,’ ‘summary execution,’ and ‘assassination,’ all of which, crucially, are legally prohibited.</w:t>
      </w:r>
      <w:r w:rsidRPr="001A4DF7">
        <w:rPr>
          <w:rStyle w:val="EndnoteReference"/>
          <w:rFonts w:ascii="Times New Roman" w:hAnsi="Times New Roman" w:cs="Times New Roman"/>
          <w:sz w:val="24"/>
          <w:szCs w:val="24"/>
        </w:rPr>
        <w:endnoteReference w:id="2"/>
      </w:r>
      <w:r w:rsidRPr="001A4DF7">
        <w:rPr>
          <w:rFonts w:ascii="Times New Roman" w:hAnsi="Times New Roman" w:cs="Times New Roman"/>
          <w:sz w:val="24"/>
          <w:szCs w:val="24"/>
        </w:rPr>
        <w:t xml:space="preserve"> </w:t>
      </w:r>
    </w:p>
    <w:p w14:paraId="5AEE2488" w14:textId="77777777" w:rsidR="00321909" w:rsidRDefault="00321909" w:rsidP="00321909">
      <w:pPr>
        <w:spacing w:after="0" w:line="480" w:lineRule="auto"/>
        <w:rPr>
          <w:rFonts w:ascii="Times New Roman" w:hAnsi="Times New Roman" w:cs="Times New Roman"/>
          <w:sz w:val="24"/>
          <w:szCs w:val="24"/>
        </w:rPr>
      </w:pPr>
      <w:r w:rsidRPr="001A4DF7">
        <w:rPr>
          <w:rFonts w:ascii="Times New Roman" w:hAnsi="Times New Roman" w:cs="Times New Roman"/>
          <w:sz w:val="24"/>
          <w:szCs w:val="24"/>
        </w:rPr>
        <w:tab/>
        <w:t>The Bush administration’s initial use of Predator drones came in October 2001. It was an unmitigated disaster, with a murky and contentious chain-of-command leading to an errant and potentially unauthorized strike, enabling Mullah Omar to escape in Afghanistan.</w:t>
      </w:r>
      <w:r w:rsidRPr="001A4DF7">
        <w:rPr>
          <w:rStyle w:val="EndnoteReference"/>
          <w:rFonts w:ascii="Times New Roman" w:hAnsi="Times New Roman" w:cs="Times New Roman"/>
          <w:sz w:val="24"/>
          <w:szCs w:val="24"/>
        </w:rPr>
        <w:endnoteReference w:id="3"/>
      </w:r>
      <w:r w:rsidRPr="001A4DF7">
        <w:rPr>
          <w:rFonts w:ascii="Times New Roman" w:hAnsi="Times New Roman" w:cs="Times New Roman"/>
          <w:sz w:val="24"/>
          <w:szCs w:val="24"/>
        </w:rPr>
        <w:t xml:space="preserve"> </w:t>
      </w:r>
      <w:r w:rsidRPr="001A4DF7">
        <w:rPr>
          <w:rFonts w:ascii="Times New Roman" w:eastAsia="Times New Roman" w:hAnsi="Times New Roman" w:cs="Times New Roman"/>
          <w:sz w:val="24"/>
          <w:szCs w:val="24"/>
        </w:rPr>
        <w:t xml:space="preserve">Despite this flawed introduction, </w:t>
      </w:r>
      <w:r w:rsidRPr="001A4DF7">
        <w:rPr>
          <w:rFonts w:ascii="Times New Roman" w:hAnsi="Times New Roman" w:cs="Times New Roman"/>
          <w:sz w:val="24"/>
          <w:szCs w:val="24"/>
        </w:rPr>
        <w:t>on November 3, 2002, the US used a Predator drone to kill six men travelling in a car in Yemen. These were America’s first targeted killings by UAV outside of an active battlefield. It was also the first of fifty-seven strikes carried out under the Bush administration in Pakistan, Yemen and Somalia.</w:t>
      </w:r>
      <w:r w:rsidRPr="001A4DF7">
        <w:rPr>
          <w:rStyle w:val="EndnoteReference"/>
          <w:rFonts w:ascii="Times New Roman" w:hAnsi="Times New Roman" w:cs="Times New Roman"/>
          <w:sz w:val="24"/>
          <w:szCs w:val="24"/>
        </w:rPr>
        <w:endnoteReference w:id="4"/>
      </w:r>
      <w:r w:rsidRPr="001A4DF7">
        <w:rPr>
          <w:rFonts w:ascii="Times New Roman" w:hAnsi="Times New Roman" w:cs="Times New Roman"/>
          <w:sz w:val="24"/>
          <w:szCs w:val="24"/>
        </w:rPr>
        <w:t xml:space="preserve"> In her 2003 report to the Commission on Human Rights, Special Rapporteur Asma Jahangir strongly condemned the action, expressing concern that “an alarming precedent might have been set for extrajudicial execution by consent of Government.”</w:t>
      </w:r>
      <w:r w:rsidRPr="001A4DF7">
        <w:rPr>
          <w:rStyle w:val="EndnoteReference"/>
          <w:rFonts w:ascii="Times New Roman" w:hAnsi="Times New Roman" w:cs="Times New Roman"/>
          <w:sz w:val="24"/>
          <w:szCs w:val="24"/>
        </w:rPr>
        <w:endnoteReference w:id="5"/>
      </w:r>
      <w:r w:rsidRPr="001A4DF7">
        <w:rPr>
          <w:rFonts w:ascii="Times New Roman" w:hAnsi="Times New Roman" w:cs="Times New Roman"/>
          <w:sz w:val="24"/>
          <w:szCs w:val="24"/>
        </w:rPr>
        <w:t xml:space="preserve"> She was right: the precedent set the ground for the rapid escalation of targeted assassination by drones throughout Bush’s presidency and particularly from 2005 onwards. </w:t>
      </w:r>
    </w:p>
    <w:p w14:paraId="7CFC4A12" w14:textId="4BB5A938" w:rsidR="00321909" w:rsidRDefault="00321909" w:rsidP="00321909">
      <w:pPr>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lastRenderedPageBreak/>
        <w:t>That propensity would increase dramatically under Obama, in significant part because of UAV’s elimination of risk to American life, in contrast to many other military means.</w:t>
      </w:r>
      <w:r w:rsidR="00787A4C">
        <w:rPr>
          <w:rFonts w:ascii="Times New Roman" w:hAnsi="Times New Roman" w:cs="Times New Roman"/>
          <w:sz w:val="24"/>
          <w:szCs w:val="24"/>
        </w:rPr>
        <w:t xml:space="preserve"> </w:t>
      </w:r>
      <w:r w:rsidR="00787A4C" w:rsidRPr="00787A4C">
        <w:rPr>
          <w:rFonts w:ascii="Times New Roman" w:hAnsi="Times New Roman" w:cs="Times New Roman"/>
          <w:b/>
          <w:sz w:val="24"/>
          <w:szCs w:val="24"/>
        </w:rPr>
        <w:t xml:space="preserve">In </w:t>
      </w:r>
      <w:r w:rsidR="00A94C71">
        <w:rPr>
          <w:rFonts w:ascii="Times New Roman" w:hAnsi="Times New Roman" w:cs="Times New Roman"/>
          <w:b/>
          <w:sz w:val="24"/>
          <w:szCs w:val="24"/>
        </w:rPr>
        <w:t xml:space="preserve">significant </w:t>
      </w:r>
      <w:r w:rsidR="00787A4C" w:rsidRPr="00787A4C">
        <w:rPr>
          <w:rFonts w:ascii="Times New Roman" w:hAnsi="Times New Roman" w:cs="Times New Roman"/>
          <w:b/>
          <w:sz w:val="24"/>
          <w:szCs w:val="24"/>
        </w:rPr>
        <w:t>part, that is because Obama came to office schooled in the Jeffersonian, rather than Jacksonian, tradition.</w:t>
      </w:r>
      <w:r w:rsidR="00E7700F">
        <w:rPr>
          <w:rStyle w:val="EndnoteReference"/>
          <w:rFonts w:ascii="Times New Roman" w:hAnsi="Times New Roman" w:cs="Times New Roman"/>
          <w:b/>
          <w:sz w:val="24"/>
          <w:szCs w:val="24"/>
        </w:rPr>
        <w:endnoteReference w:id="6"/>
      </w:r>
      <w:r w:rsidRPr="001A4DF7">
        <w:rPr>
          <w:rFonts w:ascii="Times New Roman" w:hAnsi="Times New Roman" w:cs="Times New Roman"/>
          <w:sz w:val="24"/>
          <w:szCs w:val="24"/>
        </w:rPr>
        <w:t xml:space="preserve"> Despite ‘setbacks’ of his own during his first year in office, President Obama authorized more drone strikes than took place throughout his predecessor’s entire tenure. </w:t>
      </w:r>
      <w:r>
        <w:rPr>
          <w:rFonts w:ascii="Times New Roman" w:hAnsi="Times New Roman" w:cs="Times New Roman"/>
          <w:sz w:val="24"/>
          <w:szCs w:val="24"/>
        </w:rPr>
        <w:t xml:space="preserve">Indeed, </w:t>
      </w:r>
      <w:r w:rsidRPr="001A4DF7">
        <w:rPr>
          <w:rFonts w:ascii="Times New Roman" w:hAnsi="Times New Roman" w:cs="Times New Roman"/>
          <w:sz w:val="24"/>
          <w:szCs w:val="24"/>
        </w:rPr>
        <w:t>President Barack Obama’s proclivity for the use of unmanned aerial vehicles (UAVs) was sufficient for Fuller to label him as America’s ‘assassin in chief.’</w:t>
      </w:r>
      <w:r w:rsidRPr="001A4DF7">
        <w:rPr>
          <w:rStyle w:val="EndnoteReference"/>
          <w:rFonts w:ascii="Times New Roman" w:hAnsi="Times New Roman" w:cs="Times New Roman"/>
          <w:sz w:val="24"/>
          <w:szCs w:val="24"/>
        </w:rPr>
        <w:endnoteReference w:id="7"/>
      </w:r>
      <w:r w:rsidRPr="001A4DF7">
        <w:rPr>
          <w:rFonts w:ascii="Times New Roman" w:hAnsi="Times New Roman" w:cs="Times New Roman"/>
          <w:sz w:val="24"/>
          <w:szCs w:val="24"/>
        </w:rPr>
        <w:t xml:space="preserve"> By January 2017, the Obama administration had authorized 563 drone strikes in Pakistan, Yemen, and Somalia – over ten times more than were authorized under the Bush administration. The Bureau estimates that these strikes killed between 2,906 and 4,666 people, of whom between 380 and 801 were ‘</w:t>
      </w:r>
      <w:proofErr w:type="gramStart"/>
      <w:r w:rsidRPr="001A4DF7">
        <w:rPr>
          <w:rFonts w:ascii="Times New Roman" w:hAnsi="Times New Roman" w:cs="Times New Roman"/>
          <w:sz w:val="24"/>
          <w:szCs w:val="24"/>
        </w:rPr>
        <w:t>civilians’</w:t>
      </w:r>
      <w:proofErr w:type="gramEnd"/>
      <w:r w:rsidRPr="001A4DF7">
        <w:rPr>
          <w:rFonts w:ascii="Times New Roman" w:hAnsi="Times New Roman" w:cs="Times New Roman"/>
          <w:sz w:val="24"/>
          <w:szCs w:val="24"/>
        </w:rPr>
        <w:t>.</w:t>
      </w:r>
      <w:r w:rsidRPr="001A4DF7">
        <w:rPr>
          <w:rStyle w:val="EndnoteReference"/>
          <w:rFonts w:ascii="Times New Roman" w:hAnsi="Times New Roman" w:cs="Times New Roman"/>
          <w:sz w:val="24"/>
          <w:szCs w:val="24"/>
        </w:rPr>
        <w:endnoteReference w:id="8"/>
      </w:r>
      <w:r w:rsidRPr="001A4DF7">
        <w:rPr>
          <w:rFonts w:ascii="Times New Roman" w:hAnsi="Times New Roman" w:cs="Times New Roman"/>
          <w:sz w:val="24"/>
          <w:szCs w:val="24"/>
        </w:rPr>
        <w:t xml:space="preserve"> And these figures exclude the active battlefields of Afghanistan, Iraq and Syria. Obama’s drone strikes peaked between 2009 and 2012. Significantly, in Pakistan, 305 out of 373 drone strikes, or 82 percent, were launched by the end of 2012</w:t>
      </w:r>
      <w:r>
        <w:rPr>
          <w:rFonts w:ascii="Times New Roman" w:hAnsi="Times New Roman" w:cs="Times New Roman"/>
          <w:sz w:val="24"/>
          <w:szCs w:val="24"/>
        </w:rPr>
        <w:t>; a four-year period which saw</w:t>
      </w:r>
      <w:r w:rsidRPr="001A4DF7">
        <w:rPr>
          <w:rFonts w:ascii="Times New Roman" w:hAnsi="Times New Roman" w:cs="Times New Roman"/>
          <w:sz w:val="24"/>
          <w:szCs w:val="24"/>
        </w:rPr>
        <w:t xml:space="preserve"> 86 percent </w:t>
      </w:r>
      <w:r>
        <w:rPr>
          <w:rFonts w:ascii="Times New Roman" w:hAnsi="Times New Roman" w:cs="Times New Roman"/>
          <w:sz w:val="24"/>
          <w:szCs w:val="24"/>
        </w:rPr>
        <w:t xml:space="preserve">of </w:t>
      </w:r>
      <w:r w:rsidRPr="001A4DF7">
        <w:rPr>
          <w:rFonts w:ascii="Times New Roman" w:hAnsi="Times New Roman" w:cs="Times New Roman"/>
          <w:sz w:val="24"/>
          <w:szCs w:val="24"/>
        </w:rPr>
        <w:t>Pakistan</w:t>
      </w:r>
      <w:r>
        <w:rPr>
          <w:rFonts w:ascii="Times New Roman" w:hAnsi="Times New Roman" w:cs="Times New Roman"/>
          <w:sz w:val="24"/>
          <w:szCs w:val="24"/>
        </w:rPr>
        <w:t>i casualties</w:t>
      </w:r>
      <w:r w:rsidRPr="001A4DF7">
        <w:rPr>
          <w:rFonts w:ascii="Times New Roman" w:hAnsi="Times New Roman" w:cs="Times New Roman"/>
          <w:sz w:val="24"/>
          <w:szCs w:val="24"/>
        </w:rPr>
        <w:t>, along with 98 percent of civilian</w:t>
      </w:r>
      <w:r>
        <w:rPr>
          <w:rFonts w:ascii="Times New Roman" w:hAnsi="Times New Roman" w:cs="Times New Roman"/>
          <w:sz w:val="24"/>
          <w:szCs w:val="24"/>
        </w:rPr>
        <w:t xml:space="preserve"> fatalities</w:t>
      </w:r>
      <w:r w:rsidRPr="001A4DF7">
        <w:rPr>
          <w:rFonts w:ascii="Times New Roman" w:hAnsi="Times New Roman" w:cs="Times New Roman"/>
          <w:sz w:val="24"/>
          <w:szCs w:val="24"/>
        </w:rPr>
        <w:t>.</w:t>
      </w:r>
      <w:r w:rsidRPr="001A4DF7">
        <w:rPr>
          <w:rStyle w:val="EndnoteReference"/>
          <w:rFonts w:ascii="Times New Roman" w:hAnsi="Times New Roman" w:cs="Times New Roman"/>
          <w:sz w:val="24"/>
          <w:szCs w:val="24"/>
        </w:rPr>
        <w:endnoteReference w:id="9"/>
      </w:r>
      <w:r w:rsidRPr="001A4DF7">
        <w:rPr>
          <w:rFonts w:ascii="Times New Roman" w:hAnsi="Times New Roman" w:cs="Times New Roman"/>
          <w:sz w:val="24"/>
          <w:szCs w:val="24"/>
        </w:rPr>
        <w:t xml:space="preserve"> </w:t>
      </w:r>
    </w:p>
    <w:p w14:paraId="75B29E7B" w14:textId="77777777" w:rsidR="00321909" w:rsidRPr="001A4DF7" w:rsidRDefault="00321909" w:rsidP="0032190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S</w:t>
      </w:r>
      <w:r w:rsidRPr="001A4DF7">
        <w:rPr>
          <w:rFonts w:ascii="Times New Roman" w:hAnsi="Times New Roman" w:cs="Times New Roman"/>
          <w:sz w:val="24"/>
          <w:szCs w:val="24"/>
        </w:rPr>
        <w:t>crutiny of the killing program</w:t>
      </w:r>
      <w:r>
        <w:rPr>
          <w:rFonts w:ascii="Times New Roman" w:hAnsi="Times New Roman" w:cs="Times New Roman"/>
          <w:sz w:val="24"/>
          <w:szCs w:val="24"/>
        </w:rPr>
        <w:t xml:space="preserve"> increased during this period</w:t>
      </w:r>
      <w:r w:rsidRPr="001A4DF7">
        <w:rPr>
          <w:rFonts w:ascii="Times New Roman" w:hAnsi="Times New Roman" w:cs="Times New Roman"/>
          <w:sz w:val="24"/>
          <w:szCs w:val="24"/>
        </w:rPr>
        <w:t>. In May 2010, Special Rapporteur Philip Alston reported that “outside the context of armed conflict, the use of drones for targeted killing is almost never likely to be legal” and that in the “legitimate struggle against terrorism, too many criminal acts have been re-characterized so as to justify addressing them within the framework of the law of armed conflict.”</w:t>
      </w:r>
      <w:r w:rsidRPr="001A4DF7">
        <w:rPr>
          <w:rStyle w:val="EndnoteReference"/>
          <w:rFonts w:ascii="Times New Roman" w:hAnsi="Times New Roman" w:cs="Times New Roman"/>
          <w:sz w:val="24"/>
          <w:szCs w:val="24"/>
        </w:rPr>
        <w:endnoteReference w:id="10"/>
      </w:r>
      <w:r w:rsidRPr="001A4DF7">
        <w:rPr>
          <w:rFonts w:ascii="Times New Roman" w:hAnsi="Times New Roman" w:cs="Times New Roman"/>
          <w:sz w:val="24"/>
          <w:szCs w:val="24"/>
        </w:rPr>
        <w:t xml:space="preserve"> Also in 2010, Mary Ellen O’Connell </w:t>
      </w:r>
      <w:r>
        <w:rPr>
          <w:rFonts w:ascii="Times New Roman" w:hAnsi="Times New Roman" w:cs="Times New Roman"/>
          <w:sz w:val="24"/>
          <w:szCs w:val="24"/>
        </w:rPr>
        <w:t>testified to a Congressional subcommittee</w:t>
      </w:r>
      <w:r w:rsidRPr="001A4DF7">
        <w:rPr>
          <w:rFonts w:ascii="Times New Roman" w:hAnsi="Times New Roman" w:cs="Times New Roman"/>
          <w:sz w:val="24"/>
          <w:szCs w:val="24"/>
        </w:rPr>
        <w:t>: “Combat drones are battleﬁeld weapons. They ﬁre missiles or drop bombs capable of inﬂicting very serious damage. Drones are not lawful for use outside combat zones.”</w:t>
      </w:r>
      <w:r w:rsidRPr="001A4DF7">
        <w:rPr>
          <w:rStyle w:val="EndnoteReference"/>
          <w:rFonts w:ascii="Times New Roman" w:hAnsi="Times New Roman" w:cs="Times New Roman"/>
          <w:sz w:val="24"/>
          <w:szCs w:val="24"/>
        </w:rPr>
        <w:endnoteReference w:id="11"/>
      </w:r>
      <w:r w:rsidRPr="001A4DF7">
        <w:rPr>
          <w:rFonts w:ascii="Times New Roman" w:hAnsi="Times New Roman" w:cs="Times New Roman"/>
          <w:sz w:val="24"/>
          <w:szCs w:val="24"/>
        </w:rPr>
        <w:t xml:space="preserve"> Essentially, Alston and O’Connell asserted that Obama’s killing program could not be lawfully implemented outside of Afghanistan</w:t>
      </w:r>
      <w:r>
        <w:rPr>
          <w:rFonts w:ascii="Times New Roman" w:hAnsi="Times New Roman" w:cs="Times New Roman"/>
          <w:sz w:val="24"/>
          <w:szCs w:val="24"/>
        </w:rPr>
        <w:t>; i</w:t>
      </w:r>
      <w:r w:rsidRPr="001A4DF7">
        <w:rPr>
          <w:rFonts w:ascii="Times New Roman" w:hAnsi="Times New Roman" w:cs="Times New Roman"/>
          <w:sz w:val="24"/>
          <w:szCs w:val="24"/>
        </w:rPr>
        <w:t xml:space="preserve">n spaces outside of the </w:t>
      </w:r>
      <w:r w:rsidRPr="001A4DF7">
        <w:rPr>
          <w:rFonts w:ascii="Times New Roman" w:hAnsi="Times New Roman" w:cs="Times New Roman"/>
          <w:sz w:val="24"/>
          <w:szCs w:val="24"/>
        </w:rPr>
        <w:lastRenderedPageBreak/>
        <w:t>legally recognized battlefield, killing individuals suspected of planning or participating in political violence against the US without first attempting to detain them constitutes a violation of international human rights law, as defined in such scenarios by the rules of law enforcement.</w:t>
      </w:r>
      <w:r w:rsidRPr="001A4DF7">
        <w:rPr>
          <w:rStyle w:val="EndnoteReference"/>
          <w:rFonts w:ascii="Times New Roman" w:hAnsi="Times New Roman" w:cs="Times New Roman"/>
          <w:sz w:val="24"/>
          <w:szCs w:val="24"/>
        </w:rPr>
        <w:endnoteReference w:id="12"/>
      </w:r>
      <w:r>
        <w:rPr>
          <w:rFonts w:ascii="Times New Roman" w:hAnsi="Times New Roman" w:cs="Times New Roman"/>
          <w:sz w:val="24"/>
          <w:szCs w:val="24"/>
        </w:rPr>
        <w:t xml:space="preserve"> These criticisms were reinforced by the findings of a range of robust and reliable reports in 2012 and 2013, from the universities of Stanford and New York, Amnesty International and Human Rights Watch, as well as Special Rapporteurs Christof </w:t>
      </w:r>
      <w:proofErr w:type="spellStart"/>
      <w:r>
        <w:rPr>
          <w:rFonts w:ascii="Times New Roman" w:hAnsi="Times New Roman" w:cs="Times New Roman"/>
          <w:sz w:val="24"/>
          <w:szCs w:val="24"/>
        </w:rPr>
        <w:t>Heyns</w:t>
      </w:r>
      <w:proofErr w:type="spellEnd"/>
      <w:r>
        <w:rPr>
          <w:rFonts w:ascii="Times New Roman" w:hAnsi="Times New Roman" w:cs="Times New Roman"/>
          <w:sz w:val="24"/>
          <w:szCs w:val="24"/>
        </w:rPr>
        <w:t xml:space="preserve"> and Ben Emmerson.</w:t>
      </w:r>
      <w:r>
        <w:rPr>
          <w:rStyle w:val="EndnoteReference"/>
          <w:rFonts w:ascii="Times New Roman" w:hAnsi="Times New Roman" w:cs="Times New Roman"/>
          <w:sz w:val="24"/>
          <w:szCs w:val="24"/>
        </w:rPr>
        <w:endnoteReference w:id="13"/>
      </w:r>
      <w:r>
        <w:rPr>
          <w:rFonts w:ascii="Times New Roman" w:hAnsi="Times New Roman" w:cs="Times New Roman"/>
          <w:sz w:val="24"/>
          <w:szCs w:val="24"/>
        </w:rPr>
        <w:t xml:space="preserve"> Findings included ‘double-tap’ strikes against first responders, the targeting of funerals, and violations of human rights law and/or the law of armed conflict.</w:t>
      </w:r>
      <w:r w:rsidRPr="001A4DF7">
        <w:rPr>
          <w:rFonts w:ascii="Times New Roman" w:hAnsi="Times New Roman" w:cs="Times New Roman"/>
          <w:sz w:val="24"/>
          <w:szCs w:val="24"/>
        </w:rPr>
        <w:tab/>
      </w:r>
    </w:p>
    <w:p w14:paraId="0F2C479C" w14:textId="3CCEB4BE" w:rsidR="00321909" w:rsidRPr="00426ABE" w:rsidRDefault="00321909" w:rsidP="00321909">
      <w:pPr>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t xml:space="preserve">It is within the above context that Obama administration officials delivered six major speeches between 2010 and 2013, in which the legal case </w:t>
      </w:r>
      <w:r>
        <w:rPr>
          <w:rFonts w:ascii="Times New Roman" w:hAnsi="Times New Roman" w:cs="Times New Roman"/>
          <w:sz w:val="24"/>
          <w:szCs w:val="24"/>
        </w:rPr>
        <w:t>was</w:t>
      </w:r>
      <w:r w:rsidRPr="001A4DF7">
        <w:rPr>
          <w:rFonts w:ascii="Times New Roman" w:hAnsi="Times New Roman" w:cs="Times New Roman"/>
          <w:sz w:val="24"/>
          <w:szCs w:val="24"/>
        </w:rPr>
        <w:t xml:space="preserve"> made for the use of UAVs to target America’s potential enemies. Importantly, the orators were predominantly lawyers and the majority of the speeches were delivered at legal venues.</w:t>
      </w:r>
      <w:r>
        <w:rPr>
          <w:rFonts w:ascii="Times New Roman" w:hAnsi="Times New Roman" w:cs="Times New Roman"/>
          <w:sz w:val="24"/>
          <w:szCs w:val="24"/>
        </w:rPr>
        <w:t xml:space="preserve"> The speeches were delivered by: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w:t>
      </w:r>
      <w:r w:rsidRPr="001A4DF7">
        <w:rPr>
          <w:rFonts w:ascii="Times New Roman" w:hAnsi="Times New Roman" w:cs="Times New Roman"/>
          <w:sz w:val="24"/>
          <w:szCs w:val="24"/>
        </w:rPr>
        <w:t xml:space="preserve">Harold Koh, Legal Advisor of the US Department of State, at the </w:t>
      </w:r>
      <w:r>
        <w:rPr>
          <w:rFonts w:ascii="Times New Roman" w:hAnsi="Times New Roman" w:cs="Times New Roman"/>
          <w:sz w:val="24"/>
          <w:szCs w:val="24"/>
        </w:rPr>
        <w:t xml:space="preserve">2010 </w:t>
      </w:r>
      <w:r w:rsidRPr="001A4DF7">
        <w:rPr>
          <w:rFonts w:ascii="Times New Roman" w:hAnsi="Times New Roman" w:cs="Times New Roman"/>
          <w:sz w:val="24"/>
          <w:szCs w:val="24"/>
        </w:rPr>
        <w:t>Annual Meeting of the American Society of International Law</w:t>
      </w:r>
      <w:r>
        <w:rPr>
          <w:rFonts w:ascii="Times New Roman" w:hAnsi="Times New Roman" w:cs="Times New Roman"/>
          <w:sz w:val="24"/>
          <w:szCs w:val="24"/>
        </w:rPr>
        <w:t xml:space="preserve">; (ii) John Brennan, </w:t>
      </w:r>
      <w:r w:rsidRPr="001A4DF7">
        <w:rPr>
          <w:rFonts w:ascii="Times New Roman" w:hAnsi="Times New Roman" w:cs="Times New Roman"/>
          <w:sz w:val="24"/>
          <w:szCs w:val="24"/>
        </w:rPr>
        <w:t xml:space="preserve">Assistant to the President for Homeland Security and Counterterrorism, </w:t>
      </w:r>
      <w:r>
        <w:rPr>
          <w:rFonts w:ascii="Times New Roman" w:hAnsi="Times New Roman" w:cs="Times New Roman"/>
          <w:sz w:val="24"/>
          <w:szCs w:val="24"/>
        </w:rPr>
        <w:t xml:space="preserve">and the </w:t>
      </w:r>
      <w:r w:rsidRPr="001A4DF7">
        <w:rPr>
          <w:rFonts w:ascii="Times New Roman" w:hAnsi="Times New Roman" w:cs="Times New Roman"/>
          <w:sz w:val="24"/>
          <w:szCs w:val="24"/>
        </w:rPr>
        <w:t>only orator not formally trained in law</w:t>
      </w:r>
      <w:r>
        <w:rPr>
          <w:rFonts w:ascii="Times New Roman" w:hAnsi="Times New Roman" w:cs="Times New Roman"/>
          <w:sz w:val="24"/>
          <w:szCs w:val="24"/>
        </w:rPr>
        <w:t xml:space="preserve">, in 2011 at Harvard Law School; (iii) </w:t>
      </w:r>
      <w:proofErr w:type="spellStart"/>
      <w:r w:rsidRPr="001A4DF7">
        <w:rPr>
          <w:rFonts w:ascii="Times New Roman" w:hAnsi="Times New Roman" w:cs="Times New Roman"/>
          <w:sz w:val="24"/>
          <w:szCs w:val="24"/>
        </w:rPr>
        <w:t>Jeh</w:t>
      </w:r>
      <w:proofErr w:type="spellEnd"/>
      <w:r w:rsidRPr="001A4DF7">
        <w:rPr>
          <w:rFonts w:ascii="Times New Roman" w:hAnsi="Times New Roman" w:cs="Times New Roman"/>
          <w:sz w:val="24"/>
          <w:szCs w:val="24"/>
        </w:rPr>
        <w:t xml:space="preserve"> Johnson, General Counsel of the US Department of Defense, at Yale Law School in February 2012</w:t>
      </w:r>
      <w:r>
        <w:rPr>
          <w:rFonts w:ascii="Times New Roman" w:hAnsi="Times New Roman" w:cs="Times New Roman"/>
          <w:sz w:val="24"/>
          <w:szCs w:val="24"/>
        </w:rPr>
        <w:t xml:space="preserve">; (iv) </w:t>
      </w:r>
      <w:r w:rsidRPr="001A4DF7">
        <w:rPr>
          <w:rFonts w:ascii="Times New Roman" w:hAnsi="Times New Roman" w:cs="Times New Roman"/>
          <w:sz w:val="24"/>
          <w:szCs w:val="24"/>
        </w:rPr>
        <w:t>US Attorney General Eric Holder at Northwestern University School of Law in March 2012</w:t>
      </w:r>
      <w:r>
        <w:rPr>
          <w:rFonts w:ascii="Times New Roman" w:hAnsi="Times New Roman" w:cs="Times New Roman"/>
          <w:sz w:val="24"/>
          <w:szCs w:val="24"/>
        </w:rPr>
        <w:t xml:space="preserve">; (v) Brennan </w:t>
      </w:r>
      <w:r w:rsidRPr="001A4DF7">
        <w:rPr>
          <w:rFonts w:ascii="Times New Roman" w:hAnsi="Times New Roman" w:cs="Times New Roman"/>
          <w:sz w:val="24"/>
          <w:szCs w:val="24"/>
        </w:rPr>
        <w:t>at the Wilson Center</w:t>
      </w:r>
      <w:r>
        <w:rPr>
          <w:rFonts w:ascii="Times New Roman" w:hAnsi="Times New Roman" w:cs="Times New Roman"/>
          <w:sz w:val="24"/>
          <w:szCs w:val="24"/>
        </w:rPr>
        <w:t xml:space="preserve"> in April 2012; and (vi) </w:t>
      </w:r>
      <w:r w:rsidRPr="001A4DF7">
        <w:rPr>
          <w:rFonts w:ascii="Times New Roman" w:hAnsi="Times New Roman" w:cs="Times New Roman"/>
          <w:sz w:val="24"/>
          <w:szCs w:val="24"/>
        </w:rPr>
        <w:t>President Obama in May 2013 at National Defense University. In sum, each speech was made when the legality of Obama’s killing program was being challenged and when most of the killing occurred. The Obama administration was attempting to normalize and legitimize the unprecedented</w:t>
      </w:r>
      <w:r>
        <w:rPr>
          <w:rFonts w:ascii="Times New Roman" w:hAnsi="Times New Roman" w:cs="Times New Roman"/>
          <w:sz w:val="24"/>
          <w:szCs w:val="24"/>
        </w:rPr>
        <w:t>. I</w:t>
      </w:r>
      <w:r w:rsidRPr="001A4DF7">
        <w:rPr>
          <w:rFonts w:ascii="Times New Roman" w:hAnsi="Times New Roman" w:cs="Times New Roman"/>
          <w:sz w:val="24"/>
          <w:szCs w:val="24"/>
        </w:rPr>
        <w:t xml:space="preserve">t did so while simultaneously implementing a systematized practice that was outside of international norms and recognized </w:t>
      </w:r>
      <w:r w:rsidRPr="00426ABE">
        <w:rPr>
          <w:rFonts w:ascii="Times New Roman" w:hAnsi="Times New Roman" w:cs="Times New Roman"/>
          <w:sz w:val="24"/>
          <w:szCs w:val="24"/>
        </w:rPr>
        <w:t xml:space="preserve">legal boundaries, delivering </w:t>
      </w:r>
      <w:r w:rsidRPr="00426ABE">
        <w:rPr>
          <w:rFonts w:ascii="Times New Roman" w:hAnsi="Times New Roman" w:cs="Times New Roman"/>
          <w:sz w:val="24"/>
          <w:szCs w:val="24"/>
        </w:rPr>
        <w:lastRenderedPageBreak/>
        <w:t>speeches that explicitly expressed legal opinions in defense of the practice</w:t>
      </w:r>
      <w:r w:rsidR="003F133F" w:rsidRPr="00426ABE">
        <w:rPr>
          <w:rFonts w:ascii="Times New Roman" w:hAnsi="Times New Roman" w:cs="Times New Roman"/>
          <w:sz w:val="24"/>
          <w:szCs w:val="24"/>
        </w:rPr>
        <w:t>—legal opinion and state practice being key elements in the development of new customary international law.</w:t>
      </w:r>
    </w:p>
    <w:p w14:paraId="3C72218E" w14:textId="77777777" w:rsidR="005927C0" w:rsidRPr="001A4DF7" w:rsidRDefault="005927C0" w:rsidP="005927C0">
      <w:pPr>
        <w:spacing w:after="0" w:line="480" w:lineRule="auto"/>
        <w:ind w:firstLine="720"/>
        <w:rPr>
          <w:rFonts w:ascii="Times New Roman" w:hAnsi="Times New Roman" w:cs="Times New Roman"/>
          <w:sz w:val="24"/>
          <w:szCs w:val="24"/>
        </w:rPr>
      </w:pPr>
      <w:r w:rsidRPr="00426ABE">
        <w:rPr>
          <w:rFonts w:ascii="Times New Roman" w:hAnsi="Times New Roman" w:cs="Times New Roman"/>
          <w:sz w:val="24"/>
          <w:szCs w:val="24"/>
        </w:rPr>
        <w:t>We analyze the ways in which the Obama administration made the legal</w:t>
      </w:r>
      <w:r w:rsidRPr="001A4DF7">
        <w:rPr>
          <w:rFonts w:ascii="Times New Roman" w:hAnsi="Times New Roman" w:cs="Times New Roman"/>
          <w:sz w:val="24"/>
          <w:szCs w:val="24"/>
        </w:rPr>
        <w:t xml:space="preserve"> case for the use of drones </w:t>
      </w:r>
      <w:r>
        <w:rPr>
          <w:rFonts w:ascii="Times New Roman" w:hAnsi="Times New Roman" w:cs="Times New Roman"/>
          <w:sz w:val="24"/>
          <w:szCs w:val="24"/>
        </w:rPr>
        <w:t xml:space="preserve">through </w:t>
      </w:r>
      <w:r w:rsidRPr="001A4DF7">
        <w:rPr>
          <w:rFonts w:ascii="Times New Roman" w:hAnsi="Times New Roman" w:cs="Times New Roman"/>
          <w:sz w:val="24"/>
          <w:szCs w:val="24"/>
        </w:rPr>
        <w:t>a two-step methodology, comprising of: (</w:t>
      </w:r>
      <w:proofErr w:type="spellStart"/>
      <w:r w:rsidRPr="001A4DF7">
        <w:rPr>
          <w:rFonts w:ascii="Times New Roman" w:hAnsi="Times New Roman" w:cs="Times New Roman"/>
          <w:sz w:val="24"/>
          <w:szCs w:val="24"/>
        </w:rPr>
        <w:t>i</w:t>
      </w:r>
      <w:proofErr w:type="spellEnd"/>
      <w:r w:rsidRPr="001A4DF7">
        <w:rPr>
          <w:rFonts w:ascii="Times New Roman" w:hAnsi="Times New Roman" w:cs="Times New Roman"/>
          <w:sz w:val="24"/>
          <w:szCs w:val="24"/>
        </w:rPr>
        <w:t>) a close reading and detailed textual analysis of</w:t>
      </w:r>
      <w:r>
        <w:rPr>
          <w:rFonts w:ascii="Times New Roman" w:hAnsi="Times New Roman" w:cs="Times New Roman"/>
          <w:sz w:val="24"/>
          <w:szCs w:val="24"/>
        </w:rPr>
        <w:t xml:space="preserve"> the</w:t>
      </w:r>
      <w:r w:rsidRPr="001A4DF7">
        <w:rPr>
          <w:rFonts w:ascii="Times New Roman" w:hAnsi="Times New Roman" w:cs="Times New Roman"/>
          <w:sz w:val="24"/>
          <w:szCs w:val="24"/>
        </w:rPr>
        <w:t xml:space="preserve"> six key Obama-era </w:t>
      </w:r>
      <w:r>
        <w:rPr>
          <w:rFonts w:ascii="Times New Roman" w:hAnsi="Times New Roman" w:cs="Times New Roman"/>
          <w:sz w:val="24"/>
          <w:szCs w:val="24"/>
        </w:rPr>
        <w:t>speeches,</w:t>
      </w:r>
      <w:r w:rsidRPr="001A4DF7">
        <w:rPr>
          <w:rFonts w:ascii="Times New Roman" w:hAnsi="Times New Roman" w:cs="Times New Roman"/>
          <w:sz w:val="24"/>
          <w:szCs w:val="24"/>
        </w:rPr>
        <w:t xml:space="preserve"> in which the legal case for the use of drones is made by prominent administration officials, </w:t>
      </w:r>
      <w:r>
        <w:rPr>
          <w:rFonts w:ascii="Times New Roman" w:hAnsi="Times New Roman" w:cs="Times New Roman"/>
          <w:sz w:val="24"/>
          <w:szCs w:val="24"/>
        </w:rPr>
        <w:t>during</w:t>
      </w:r>
      <w:r w:rsidRPr="001A4DF7">
        <w:rPr>
          <w:rFonts w:ascii="Times New Roman" w:hAnsi="Times New Roman" w:cs="Times New Roman"/>
          <w:sz w:val="24"/>
          <w:szCs w:val="24"/>
        </w:rPr>
        <w:t xml:space="preserve"> the crucial period between 2010 and 2013; and (ii) a broader discourse analysis of the emergent War on Terror, as articulated and constructed by President George W. Bush, between 2001 and 2003. </w:t>
      </w:r>
      <w:r>
        <w:rPr>
          <w:rFonts w:ascii="Times New Roman" w:hAnsi="Times New Roman" w:cs="Times New Roman"/>
          <w:sz w:val="24"/>
          <w:szCs w:val="24"/>
        </w:rPr>
        <w:t xml:space="preserve">In the first step, we deploy a </w:t>
      </w:r>
      <w:r w:rsidRPr="001A4DF7">
        <w:rPr>
          <w:rFonts w:ascii="Times New Roman" w:hAnsi="Times New Roman" w:cs="Times New Roman"/>
          <w:sz w:val="24"/>
          <w:szCs w:val="24"/>
        </w:rPr>
        <w:t xml:space="preserve">textually oriented variant of discourse analysis, </w:t>
      </w:r>
      <w:r>
        <w:rPr>
          <w:rFonts w:ascii="Times New Roman" w:hAnsi="Times New Roman" w:cs="Times New Roman"/>
          <w:sz w:val="24"/>
          <w:szCs w:val="24"/>
        </w:rPr>
        <w:t>focused on an</w:t>
      </w:r>
      <w:r w:rsidRPr="001A4DF7">
        <w:rPr>
          <w:rFonts w:ascii="Times New Roman" w:hAnsi="Times New Roman" w:cs="Times New Roman"/>
          <w:sz w:val="24"/>
          <w:szCs w:val="24"/>
        </w:rPr>
        <w:t xml:space="preserve"> inter-discursive analysis of </w:t>
      </w:r>
      <w:r>
        <w:rPr>
          <w:rFonts w:ascii="Times New Roman" w:hAnsi="Times New Roman" w:cs="Times New Roman"/>
          <w:sz w:val="24"/>
          <w:szCs w:val="24"/>
        </w:rPr>
        <w:t xml:space="preserve">these key </w:t>
      </w:r>
      <w:r w:rsidRPr="001A4DF7">
        <w:rPr>
          <w:rFonts w:ascii="Times New Roman" w:hAnsi="Times New Roman" w:cs="Times New Roman"/>
          <w:sz w:val="24"/>
          <w:szCs w:val="24"/>
        </w:rPr>
        <w:t>texts</w:t>
      </w:r>
      <w:r>
        <w:rPr>
          <w:rFonts w:ascii="Times New Roman" w:hAnsi="Times New Roman" w:cs="Times New Roman"/>
          <w:sz w:val="24"/>
          <w:szCs w:val="24"/>
        </w:rPr>
        <w:t xml:space="preserve"> as </w:t>
      </w:r>
      <w:r w:rsidRPr="001A4DF7">
        <w:rPr>
          <w:rFonts w:ascii="Times New Roman" w:hAnsi="Times New Roman" w:cs="Times New Roman"/>
          <w:sz w:val="24"/>
          <w:szCs w:val="24"/>
        </w:rPr>
        <w:t>social event</w:t>
      </w:r>
      <w:r>
        <w:rPr>
          <w:rFonts w:ascii="Times New Roman" w:hAnsi="Times New Roman" w:cs="Times New Roman"/>
          <w:sz w:val="24"/>
          <w:szCs w:val="24"/>
        </w:rPr>
        <w:t>s</w:t>
      </w:r>
      <w:r w:rsidRPr="001A4DF7">
        <w:rPr>
          <w:rFonts w:ascii="Times New Roman" w:hAnsi="Times New Roman" w:cs="Times New Roman"/>
          <w:sz w:val="24"/>
          <w:szCs w:val="24"/>
        </w:rPr>
        <w:t>, which helps to construct meaning and produce very real, material effects – in this instance, enabling drone strikes.</w:t>
      </w:r>
      <w:r w:rsidRPr="001A4DF7">
        <w:rPr>
          <w:rStyle w:val="EndnoteReference"/>
          <w:rFonts w:ascii="Times New Roman" w:hAnsi="Times New Roman" w:cs="Times New Roman"/>
          <w:sz w:val="24"/>
          <w:szCs w:val="24"/>
        </w:rPr>
        <w:endnoteReference w:id="14"/>
      </w:r>
      <w:r w:rsidRPr="001A4DF7">
        <w:rPr>
          <w:rFonts w:ascii="Times New Roman" w:hAnsi="Times New Roman" w:cs="Times New Roman"/>
          <w:sz w:val="24"/>
          <w:szCs w:val="24"/>
        </w:rPr>
        <w:t xml:space="preserve"> In </w:t>
      </w:r>
      <w:proofErr w:type="spellStart"/>
      <w:r w:rsidRPr="001A4DF7">
        <w:rPr>
          <w:rFonts w:ascii="Times New Roman" w:hAnsi="Times New Roman" w:cs="Times New Roman"/>
          <w:sz w:val="24"/>
          <w:szCs w:val="24"/>
        </w:rPr>
        <w:t>analysing</w:t>
      </w:r>
      <w:proofErr w:type="spellEnd"/>
      <w:r w:rsidRPr="001A4DF7">
        <w:rPr>
          <w:rFonts w:ascii="Times New Roman" w:hAnsi="Times New Roman" w:cs="Times New Roman"/>
          <w:sz w:val="24"/>
          <w:szCs w:val="24"/>
        </w:rPr>
        <w:t xml:space="preserve"> these speeches, we considered, in turn: (</w:t>
      </w:r>
      <w:proofErr w:type="spellStart"/>
      <w:r w:rsidRPr="001A4DF7">
        <w:rPr>
          <w:rFonts w:ascii="Times New Roman" w:hAnsi="Times New Roman" w:cs="Times New Roman"/>
          <w:sz w:val="24"/>
          <w:szCs w:val="24"/>
        </w:rPr>
        <w:t>i</w:t>
      </w:r>
      <w:proofErr w:type="spellEnd"/>
      <w:r w:rsidRPr="001A4DF7">
        <w:rPr>
          <w:rFonts w:ascii="Times New Roman" w:hAnsi="Times New Roman" w:cs="Times New Roman"/>
          <w:sz w:val="24"/>
          <w:szCs w:val="24"/>
        </w:rPr>
        <w:t>) what are the key themes of legal argumentation in justifying drone strikes; and (ii) how are the issues of the law of armed conflict, processual secrecy, distinction / proportionality, and guilt addressed. For the second step, our textual analysis is situated within a broader discourse analysis of the emergent War on Terror, as articulated and constructed by Bush – as the conflict’s principal orator – between September 11</w:t>
      </w:r>
      <w:r w:rsidRPr="001A4DF7">
        <w:rPr>
          <w:rFonts w:ascii="Times New Roman" w:hAnsi="Times New Roman" w:cs="Times New Roman"/>
          <w:sz w:val="24"/>
          <w:szCs w:val="24"/>
          <w:vertAlign w:val="superscript"/>
        </w:rPr>
        <w:t>th</w:t>
      </w:r>
      <w:r w:rsidRPr="001A4DF7">
        <w:rPr>
          <w:rFonts w:ascii="Times New Roman" w:hAnsi="Times New Roman" w:cs="Times New Roman"/>
          <w:sz w:val="24"/>
          <w:szCs w:val="24"/>
        </w:rPr>
        <w:t>, 2001 and mid-2003.</w:t>
      </w:r>
      <w:r w:rsidRPr="001A4DF7">
        <w:rPr>
          <w:rStyle w:val="EndnoteReference"/>
          <w:rFonts w:ascii="Times New Roman" w:hAnsi="Times New Roman" w:cs="Times New Roman"/>
          <w:sz w:val="24"/>
          <w:szCs w:val="24"/>
        </w:rPr>
        <w:endnoteReference w:id="15"/>
      </w:r>
      <w:r>
        <w:rPr>
          <w:rFonts w:ascii="Times New Roman" w:hAnsi="Times New Roman" w:cs="Times New Roman"/>
          <w:sz w:val="24"/>
          <w:szCs w:val="24"/>
        </w:rPr>
        <w:t xml:space="preserve"> This emergent discourse was vital for early-stage constructions of enemy targets and countries of operation, within the broader post 9/11 spatial and temporal imagination of US-led conflict.</w:t>
      </w:r>
    </w:p>
    <w:p w14:paraId="017E198F" w14:textId="3EA643D0" w:rsidR="005927C0" w:rsidRPr="00426ABE" w:rsidRDefault="005927C0" w:rsidP="005927C0">
      <w:pPr>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t>Our analysis shows how, to make the case that ‘America’s Actions Are Legal,’</w:t>
      </w:r>
      <w:r w:rsidRPr="001A4DF7">
        <w:rPr>
          <w:rStyle w:val="EndnoteReference"/>
          <w:rFonts w:ascii="Times New Roman" w:hAnsi="Times New Roman" w:cs="Times New Roman"/>
          <w:sz w:val="24"/>
          <w:szCs w:val="24"/>
        </w:rPr>
        <w:endnoteReference w:id="16"/>
      </w:r>
      <w:r w:rsidRPr="001A4DF7">
        <w:rPr>
          <w:rFonts w:ascii="Times New Roman" w:hAnsi="Times New Roman" w:cs="Times New Roman"/>
          <w:sz w:val="24"/>
          <w:szCs w:val="24"/>
        </w:rPr>
        <w:t xml:space="preserve"> the Obama administration drew upon the discursive foundations of the War on Terror that were established by their predecessors in order to situate the killing program within the existing armed conflict paradigm.</w:t>
      </w:r>
      <w:r>
        <w:rPr>
          <w:rFonts w:ascii="Times New Roman" w:hAnsi="Times New Roman" w:cs="Times New Roman"/>
          <w:sz w:val="24"/>
          <w:szCs w:val="24"/>
        </w:rPr>
        <w:t xml:space="preserve"> Two discursive moves were particularly important for </w:t>
      </w:r>
      <w:r w:rsidRPr="001A4DF7">
        <w:rPr>
          <w:rFonts w:ascii="Times New Roman" w:hAnsi="Times New Roman" w:cs="Times New Roman"/>
          <w:sz w:val="24"/>
          <w:szCs w:val="24"/>
        </w:rPr>
        <w:t>critical doctrinal assessments of change and continuity</w:t>
      </w:r>
      <w:r w:rsidR="003F133F">
        <w:rPr>
          <w:rFonts w:ascii="Times New Roman" w:hAnsi="Times New Roman" w:cs="Times New Roman"/>
          <w:sz w:val="24"/>
          <w:szCs w:val="24"/>
        </w:rPr>
        <w:t>.</w:t>
      </w:r>
      <w:r w:rsidRPr="001A4DF7">
        <w:rPr>
          <w:rStyle w:val="EndnoteReference"/>
          <w:rFonts w:ascii="Times New Roman" w:hAnsi="Times New Roman" w:cs="Times New Roman"/>
          <w:sz w:val="24"/>
          <w:szCs w:val="24"/>
        </w:rPr>
        <w:endnoteReference w:id="17"/>
      </w:r>
      <w:r w:rsidRPr="001A4DF7">
        <w:rPr>
          <w:rFonts w:ascii="Times New Roman" w:hAnsi="Times New Roman" w:cs="Times New Roman"/>
          <w:sz w:val="24"/>
          <w:szCs w:val="24"/>
        </w:rPr>
        <w:t xml:space="preserve"> </w:t>
      </w:r>
      <w:r>
        <w:rPr>
          <w:rFonts w:ascii="Times New Roman" w:hAnsi="Times New Roman" w:cs="Times New Roman"/>
          <w:sz w:val="24"/>
          <w:szCs w:val="24"/>
        </w:rPr>
        <w:t>First, w</w:t>
      </w:r>
      <w:r w:rsidRPr="001A4DF7">
        <w:rPr>
          <w:rFonts w:ascii="Times New Roman" w:hAnsi="Times New Roman" w:cs="Times New Roman"/>
          <w:sz w:val="24"/>
          <w:szCs w:val="24"/>
        </w:rPr>
        <w:t xml:space="preserve">hile Obama may have officially abandoned </w:t>
      </w:r>
      <w:r w:rsidRPr="001A4DF7">
        <w:rPr>
          <w:rFonts w:ascii="Times New Roman" w:hAnsi="Times New Roman" w:cs="Times New Roman"/>
          <w:sz w:val="24"/>
          <w:szCs w:val="24"/>
        </w:rPr>
        <w:lastRenderedPageBreak/>
        <w:t xml:space="preserve">Bush’s War on Terror (banishing the very term), he nonetheless retained and </w:t>
      </w:r>
      <w:r>
        <w:rPr>
          <w:rFonts w:ascii="Times New Roman" w:hAnsi="Times New Roman" w:cs="Times New Roman"/>
          <w:sz w:val="24"/>
          <w:szCs w:val="24"/>
        </w:rPr>
        <w:t>reproduced</w:t>
      </w:r>
      <w:r w:rsidRPr="001A4DF7">
        <w:rPr>
          <w:rFonts w:ascii="Times New Roman" w:hAnsi="Times New Roman" w:cs="Times New Roman"/>
          <w:sz w:val="24"/>
          <w:szCs w:val="24"/>
        </w:rPr>
        <w:t xml:space="preserve"> the notion that America was </w:t>
      </w:r>
      <w:r>
        <w:rPr>
          <w:rFonts w:ascii="Times New Roman" w:hAnsi="Times New Roman" w:cs="Times New Roman"/>
          <w:sz w:val="24"/>
          <w:szCs w:val="24"/>
        </w:rPr>
        <w:t>engaged in a conflict unbounded by space or time</w:t>
      </w:r>
      <w:r w:rsidRPr="001A4DF7">
        <w:rPr>
          <w:rFonts w:ascii="Times New Roman" w:hAnsi="Times New Roman" w:cs="Times New Roman"/>
          <w:sz w:val="24"/>
          <w:szCs w:val="24"/>
        </w:rPr>
        <w:t xml:space="preserve">, furthering </w:t>
      </w:r>
      <w:r>
        <w:rPr>
          <w:rFonts w:ascii="Times New Roman" w:hAnsi="Times New Roman" w:cs="Times New Roman"/>
          <w:sz w:val="24"/>
          <w:szCs w:val="24"/>
        </w:rPr>
        <w:t>Bush’s</w:t>
      </w:r>
      <w:r w:rsidRPr="001A4DF7">
        <w:rPr>
          <w:rFonts w:ascii="Times New Roman" w:hAnsi="Times New Roman" w:cs="Times New Roman"/>
          <w:sz w:val="24"/>
          <w:szCs w:val="24"/>
        </w:rPr>
        <w:t xml:space="preserve"> discursive </w:t>
      </w:r>
      <w:r>
        <w:rPr>
          <w:rFonts w:ascii="Times New Roman" w:hAnsi="Times New Roman" w:cs="Times New Roman"/>
          <w:sz w:val="24"/>
          <w:szCs w:val="24"/>
        </w:rPr>
        <w:t>efforts</w:t>
      </w:r>
      <w:r w:rsidRPr="001A4DF7">
        <w:rPr>
          <w:rFonts w:ascii="Times New Roman" w:hAnsi="Times New Roman" w:cs="Times New Roman"/>
          <w:sz w:val="24"/>
          <w:szCs w:val="24"/>
        </w:rPr>
        <w:t>.</w:t>
      </w:r>
      <w:r w:rsidRPr="001A4DF7">
        <w:rPr>
          <w:rStyle w:val="EndnoteReference"/>
          <w:rFonts w:ascii="Times New Roman" w:hAnsi="Times New Roman" w:cs="Times New Roman"/>
          <w:sz w:val="24"/>
          <w:szCs w:val="24"/>
        </w:rPr>
        <w:endnoteReference w:id="18"/>
      </w:r>
      <w:r w:rsidRPr="001A4DF7">
        <w:rPr>
          <w:rFonts w:ascii="Times New Roman" w:hAnsi="Times New Roman" w:cs="Times New Roman"/>
          <w:sz w:val="24"/>
          <w:szCs w:val="24"/>
        </w:rPr>
        <w:t xml:space="preserve"> </w:t>
      </w:r>
      <w:r>
        <w:rPr>
          <w:rFonts w:ascii="Times New Roman" w:hAnsi="Times New Roman" w:cs="Times New Roman"/>
          <w:sz w:val="24"/>
          <w:szCs w:val="24"/>
        </w:rPr>
        <w:t>Second, however, we show that</w:t>
      </w:r>
      <w:r w:rsidRPr="001A4DF7">
        <w:rPr>
          <w:rFonts w:ascii="Times New Roman" w:hAnsi="Times New Roman" w:cs="Times New Roman"/>
          <w:sz w:val="24"/>
          <w:szCs w:val="24"/>
        </w:rPr>
        <w:t xml:space="preserve"> continuit</w:t>
      </w:r>
      <w:r>
        <w:rPr>
          <w:rFonts w:ascii="Times New Roman" w:hAnsi="Times New Roman" w:cs="Times New Roman"/>
          <w:sz w:val="24"/>
          <w:szCs w:val="24"/>
        </w:rPr>
        <w:t xml:space="preserve">y was married to change, as </w:t>
      </w:r>
      <w:r w:rsidRPr="001A4DF7">
        <w:rPr>
          <w:rFonts w:ascii="Times New Roman" w:hAnsi="Times New Roman" w:cs="Times New Roman"/>
          <w:sz w:val="24"/>
          <w:szCs w:val="24"/>
        </w:rPr>
        <w:t>the Obama administration strategically opted to develop</w:t>
      </w:r>
      <w:r>
        <w:rPr>
          <w:rFonts w:ascii="Times New Roman" w:hAnsi="Times New Roman" w:cs="Times New Roman"/>
          <w:sz w:val="24"/>
          <w:szCs w:val="24"/>
        </w:rPr>
        <w:t xml:space="preserve"> specific narrative themes</w:t>
      </w:r>
      <w:r w:rsidRPr="001A4DF7">
        <w:rPr>
          <w:rFonts w:ascii="Times New Roman" w:hAnsi="Times New Roman" w:cs="Times New Roman"/>
          <w:sz w:val="24"/>
          <w:szCs w:val="24"/>
        </w:rPr>
        <w:t xml:space="preserve"> in making the legal case for </w:t>
      </w:r>
      <w:r>
        <w:rPr>
          <w:rFonts w:ascii="Times New Roman" w:hAnsi="Times New Roman" w:cs="Times New Roman"/>
          <w:sz w:val="24"/>
          <w:szCs w:val="24"/>
        </w:rPr>
        <w:t>a</w:t>
      </w:r>
      <w:r w:rsidRPr="001A4DF7">
        <w:rPr>
          <w:rFonts w:ascii="Times New Roman" w:hAnsi="Times New Roman" w:cs="Times New Roman"/>
          <w:sz w:val="24"/>
          <w:szCs w:val="24"/>
        </w:rPr>
        <w:t xml:space="preserve"> preferred </w:t>
      </w:r>
      <w:r>
        <w:rPr>
          <w:rFonts w:ascii="Times New Roman" w:hAnsi="Times New Roman" w:cs="Times New Roman"/>
          <w:sz w:val="24"/>
          <w:szCs w:val="24"/>
        </w:rPr>
        <w:t xml:space="preserve">warfighting </w:t>
      </w:r>
      <w:r w:rsidRPr="001A4DF7">
        <w:rPr>
          <w:rFonts w:ascii="Times New Roman" w:hAnsi="Times New Roman" w:cs="Times New Roman"/>
          <w:sz w:val="24"/>
          <w:szCs w:val="24"/>
        </w:rPr>
        <w:t xml:space="preserve">style. Our analysis shows how </w:t>
      </w:r>
      <w:r>
        <w:rPr>
          <w:rFonts w:ascii="Times New Roman" w:hAnsi="Times New Roman" w:cs="Times New Roman"/>
          <w:sz w:val="24"/>
          <w:szCs w:val="24"/>
        </w:rPr>
        <w:t>the administration</w:t>
      </w:r>
      <w:r w:rsidRPr="001A4DF7">
        <w:rPr>
          <w:rFonts w:ascii="Times New Roman" w:hAnsi="Times New Roman" w:cs="Times New Roman"/>
          <w:sz w:val="24"/>
          <w:szCs w:val="24"/>
        </w:rPr>
        <w:t xml:space="preserve"> employed innovative techniques of dehumanization, moving away from Bush’s efforts to animalize enemies, instead adopting a sanguine, bureaucratic language </w:t>
      </w:r>
      <w:r w:rsidRPr="00426ABE">
        <w:rPr>
          <w:rFonts w:ascii="Times New Roman" w:hAnsi="Times New Roman" w:cs="Times New Roman"/>
          <w:sz w:val="24"/>
          <w:szCs w:val="24"/>
        </w:rPr>
        <w:t xml:space="preserve">to veil the act of killing. </w:t>
      </w:r>
    </w:p>
    <w:p w14:paraId="3660FC36" w14:textId="2067AAA5" w:rsidR="00E2016F" w:rsidRPr="00426ABE" w:rsidRDefault="00F76E02" w:rsidP="00E2016F">
      <w:pPr>
        <w:spacing w:after="0" w:line="480" w:lineRule="auto"/>
        <w:ind w:firstLine="720"/>
        <w:rPr>
          <w:rFonts w:ascii="Times New Roman" w:hAnsi="Times New Roman" w:cs="Times New Roman"/>
          <w:sz w:val="24"/>
          <w:szCs w:val="24"/>
        </w:rPr>
      </w:pPr>
      <w:r w:rsidRPr="00426ABE">
        <w:rPr>
          <w:rFonts w:ascii="Times New Roman" w:hAnsi="Times New Roman" w:cs="Times New Roman"/>
          <w:sz w:val="24"/>
          <w:szCs w:val="24"/>
        </w:rPr>
        <w:t>The significance of our findings is two-fold. Our research contributes to critical complementary literatures on: (</w:t>
      </w:r>
      <w:proofErr w:type="spellStart"/>
      <w:r w:rsidRPr="00426ABE">
        <w:rPr>
          <w:rFonts w:ascii="Times New Roman" w:hAnsi="Times New Roman" w:cs="Times New Roman"/>
          <w:sz w:val="24"/>
          <w:szCs w:val="24"/>
        </w:rPr>
        <w:t>i</w:t>
      </w:r>
      <w:proofErr w:type="spellEnd"/>
      <w:r w:rsidRPr="00426ABE">
        <w:rPr>
          <w:rFonts w:ascii="Times New Roman" w:hAnsi="Times New Roman" w:cs="Times New Roman"/>
          <w:sz w:val="24"/>
          <w:szCs w:val="24"/>
        </w:rPr>
        <w:t>) the role of dehumanization in US foreign policy, and (ii) the influence of power in the directional flows of law-making and law-receiving from West-to-East and North-to-South. Regarding dehumanization, as David Campbell has shown, a de-humanized enemy Other has long been at the heart of US foreign policy and American identity.</w:t>
      </w:r>
      <w:r w:rsidRPr="00426ABE">
        <w:rPr>
          <w:rStyle w:val="EndnoteReference"/>
          <w:rFonts w:ascii="Times New Roman" w:hAnsi="Times New Roman" w:cs="Times New Roman"/>
          <w:sz w:val="24"/>
          <w:szCs w:val="24"/>
        </w:rPr>
        <w:endnoteReference w:id="19"/>
      </w:r>
      <w:r w:rsidRPr="00426ABE">
        <w:rPr>
          <w:rFonts w:ascii="Times New Roman" w:hAnsi="Times New Roman" w:cs="Times New Roman"/>
          <w:sz w:val="24"/>
          <w:szCs w:val="24"/>
        </w:rPr>
        <w:t xml:space="preserve"> This is especially true in times of conflict, such as World War II and the wars in Korea and Vietnam.</w:t>
      </w:r>
      <w:r w:rsidRPr="00426ABE">
        <w:rPr>
          <w:rStyle w:val="EndnoteReference"/>
          <w:rFonts w:ascii="Times New Roman" w:hAnsi="Times New Roman" w:cs="Times New Roman"/>
          <w:sz w:val="24"/>
          <w:szCs w:val="24"/>
        </w:rPr>
        <w:endnoteReference w:id="20"/>
      </w:r>
      <w:r w:rsidRPr="00426ABE">
        <w:rPr>
          <w:rFonts w:ascii="Times New Roman" w:hAnsi="Times New Roman" w:cs="Times New Roman"/>
          <w:sz w:val="24"/>
          <w:szCs w:val="24"/>
        </w:rPr>
        <w:t xml:space="preserve"> In this, the US continues what other imperial nations have done before, constructing an image of Others – and particularly Others in the Global South – as inferior and less-than-fully-human. </w:t>
      </w:r>
      <w:r w:rsidR="00E2016F" w:rsidRPr="00426ABE">
        <w:rPr>
          <w:rFonts w:ascii="Times New Roman" w:hAnsi="Times New Roman" w:cs="Times New Roman"/>
          <w:sz w:val="24"/>
          <w:szCs w:val="24"/>
        </w:rPr>
        <w:t xml:space="preserve">Significantly, in the context of the US killing program, dehumanization of the enemy is not simply a means to make killing easier, but rather to legitimate the act of killing itself. In contrast to starker foreign policy rhetoric, </w:t>
      </w:r>
      <w:r w:rsidR="00E2016F" w:rsidRPr="00426ABE">
        <w:rPr>
          <w:rFonts w:ascii="Times New Roman" w:hAnsi="Times New Roman" w:cs="Times New Roman"/>
          <w:i/>
          <w:sz w:val="24"/>
          <w:szCs w:val="24"/>
        </w:rPr>
        <w:t>the Obama administration’s legal case for drones amounted to a particularly lethal sterility; murder</w:t>
      </w:r>
      <w:r w:rsidR="00E2016F" w:rsidRPr="001A43F2">
        <w:rPr>
          <w:rFonts w:ascii="Times New Roman" w:hAnsi="Times New Roman" w:cs="Times New Roman"/>
          <w:i/>
          <w:sz w:val="24"/>
          <w:szCs w:val="24"/>
        </w:rPr>
        <w:t xml:space="preserve"> through the mundane, with assassination enabled through the bureaucratically banal</w:t>
      </w:r>
      <w:r w:rsidR="00E2016F">
        <w:rPr>
          <w:rFonts w:ascii="Times New Roman" w:hAnsi="Times New Roman" w:cs="Times New Roman"/>
          <w:sz w:val="24"/>
          <w:szCs w:val="24"/>
        </w:rPr>
        <w:t xml:space="preserve">. The silence on killing in the </w:t>
      </w:r>
      <w:r w:rsidR="00E2016F" w:rsidRPr="00426ABE">
        <w:rPr>
          <w:rFonts w:ascii="Times New Roman" w:hAnsi="Times New Roman" w:cs="Times New Roman"/>
          <w:sz w:val="24"/>
          <w:szCs w:val="24"/>
        </w:rPr>
        <w:t>efficient and plentiful pursuit of death speaks volumes for Obama’s foreign policy legacy and the liberal way of war.</w:t>
      </w:r>
    </w:p>
    <w:p w14:paraId="4BF69C30" w14:textId="6F1732FE" w:rsidR="00C43F1C" w:rsidRPr="00E2016F" w:rsidRDefault="00F76E02" w:rsidP="00E2016F">
      <w:pPr>
        <w:spacing w:after="0" w:line="480" w:lineRule="auto"/>
        <w:ind w:firstLine="720"/>
        <w:rPr>
          <w:rFonts w:ascii="Times New Roman" w:hAnsi="Times New Roman" w:cs="Times New Roman"/>
          <w:b/>
          <w:sz w:val="24"/>
          <w:szCs w:val="24"/>
        </w:rPr>
      </w:pPr>
      <w:r w:rsidRPr="00426ABE">
        <w:rPr>
          <w:rFonts w:ascii="Times New Roman" w:hAnsi="Times New Roman" w:cs="Times New Roman"/>
          <w:sz w:val="24"/>
          <w:szCs w:val="24"/>
        </w:rPr>
        <w:t xml:space="preserve">In this way, dehumanizing the ‘targets’ of the killing program is part of a process of making legal that which was not before. Of course, some states are more </w:t>
      </w:r>
      <w:r w:rsidR="00016DB0" w:rsidRPr="00426ABE">
        <w:rPr>
          <w:rFonts w:ascii="Times New Roman" w:hAnsi="Times New Roman" w:cs="Times New Roman"/>
          <w:sz w:val="24"/>
          <w:szCs w:val="24"/>
        </w:rPr>
        <w:t xml:space="preserve">capable of writing and </w:t>
      </w:r>
      <w:r w:rsidR="00016DB0" w:rsidRPr="00426ABE">
        <w:rPr>
          <w:rFonts w:ascii="Times New Roman" w:hAnsi="Times New Roman" w:cs="Times New Roman"/>
          <w:sz w:val="24"/>
          <w:szCs w:val="24"/>
        </w:rPr>
        <w:lastRenderedPageBreak/>
        <w:t>rewriting</w:t>
      </w:r>
      <w:r w:rsidRPr="00426ABE">
        <w:rPr>
          <w:rFonts w:ascii="Times New Roman" w:hAnsi="Times New Roman" w:cs="Times New Roman"/>
          <w:sz w:val="24"/>
          <w:szCs w:val="24"/>
        </w:rPr>
        <w:t xml:space="preserve"> international law</w:t>
      </w:r>
      <w:r w:rsidR="00016DB0" w:rsidRPr="00426ABE">
        <w:rPr>
          <w:rFonts w:ascii="Times New Roman" w:hAnsi="Times New Roman" w:cs="Times New Roman"/>
          <w:sz w:val="24"/>
          <w:szCs w:val="24"/>
        </w:rPr>
        <w:t xml:space="preserve"> than others</w:t>
      </w:r>
      <w:r w:rsidRPr="00426ABE">
        <w:rPr>
          <w:rFonts w:ascii="Times New Roman" w:hAnsi="Times New Roman" w:cs="Times New Roman"/>
          <w:sz w:val="24"/>
          <w:szCs w:val="24"/>
        </w:rPr>
        <w:t>. As Anthea Roberts writes, “Powerful states wield disproportionate and often decisive influence in determining the content</w:t>
      </w:r>
      <w:r w:rsidRPr="001A4DF7">
        <w:rPr>
          <w:rFonts w:ascii="Times New Roman" w:hAnsi="Times New Roman" w:cs="Times New Roman"/>
          <w:sz w:val="24"/>
          <w:szCs w:val="24"/>
        </w:rPr>
        <w:t xml:space="preserve"> and application of custom.”</w:t>
      </w:r>
      <w:r w:rsidRPr="001A4DF7">
        <w:rPr>
          <w:rStyle w:val="EndnoteReference"/>
          <w:rFonts w:ascii="Times New Roman" w:hAnsi="Times New Roman" w:cs="Times New Roman"/>
          <w:sz w:val="24"/>
          <w:szCs w:val="24"/>
        </w:rPr>
        <w:endnoteReference w:id="21"/>
      </w:r>
      <w:r w:rsidRPr="001A4DF7">
        <w:rPr>
          <w:rFonts w:ascii="Times New Roman" w:hAnsi="Times New Roman" w:cs="Times New Roman"/>
          <w:sz w:val="24"/>
          <w:szCs w:val="24"/>
        </w:rPr>
        <w:t xml:space="preserve"> In attempting to create a customary legal framework for a killing program outside of armed conflict and associated battlefields, the Obama administration was able to implement and maintain the program when no such legal framework existed and at the same time as its legality was being questioned. </w:t>
      </w:r>
      <w:r>
        <w:rPr>
          <w:rFonts w:ascii="Times New Roman" w:hAnsi="Times New Roman" w:cs="Times New Roman"/>
          <w:sz w:val="24"/>
          <w:szCs w:val="24"/>
        </w:rPr>
        <w:t xml:space="preserve">The ability to essentially disregard existing laws and norms, while claiming a legal right to act outside of them is a power limited to only a select few, with the US arguably chief among them. </w:t>
      </w:r>
      <w:r w:rsidRPr="001A43F2">
        <w:rPr>
          <w:rFonts w:ascii="Times New Roman" w:hAnsi="Times New Roman" w:cs="Times New Roman"/>
          <w:sz w:val="24"/>
          <w:szCs w:val="24"/>
        </w:rPr>
        <w:t>This finding contributes to our understanding of how new law is authored and by whom. Powerful states involved in legal interpretation of the use of force among states typically reside in the West and North.</w:t>
      </w:r>
      <w:r w:rsidRPr="001A43F2">
        <w:rPr>
          <w:rStyle w:val="EndnoteReference"/>
          <w:rFonts w:ascii="Times New Roman" w:hAnsi="Times New Roman" w:cs="Times New Roman"/>
          <w:sz w:val="24"/>
          <w:szCs w:val="24"/>
        </w:rPr>
        <w:endnoteReference w:id="22"/>
      </w:r>
      <w:r w:rsidRPr="001A43F2">
        <w:rPr>
          <w:rFonts w:ascii="Times New Roman" w:hAnsi="Times New Roman" w:cs="Times New Roman"/>
          <w:sz w:val="24"/>
          <w:szCs w:val="24"/>
        </w:rPr>
        <w:t xml:space="preserve"> Thus, according to George Galindo and César Yip, “the current framework of CIL is based on an undemocratic law-making process, which has been shaped mostly by powerful states to the disadvantage of the interests of developing countries.”</w:t>
      </w:r>
      <w:r w:rsidRPr="001A43F2">
        <w:rPr>
          <w:rStyle w:val="EndnoteReference"/>
          <w:rFonts w:ascii="Times New Roman" w:hAnsi="Times New Roman" w:cs="Times New Roman"/>
          <w:sz w:val="24"/>
          <w:szCs w:val="24"/>
        </w:rPr>
        <w:endnoteReference w:id="23"/>
      </w:r>
      <w:r w:rsidRPr="001A4DF7">
        <w:rPr>
          <w:rFonts w:ascii="Times New Roman" w:hAnsi="Times New Roman" w:cs="Times New Roman"/>
          <w:sz w:val="24"/>
          <w:szCs w:val="24"/>
        </w:rPr>
        <w:t xml:space="preserve"> Together,</w:t>
      </w:r>
      <w:r>
        <w:rPr>
          <w:rFonts w:ascii="Times New Roman" w:hAnsi="Times New Roman" w:cs="Times New Roman"/>
          <w:sz w:val="24"/>
          <w:szCs w:val="24"/>
        </w:rPr>
        <w:t xml:space="preserve"> during Obama’s killing program,</w:t>
      </w:r>
      <w:r w:rsidRPr="001A4DF7">
        <w:rPr>
          <w:rFonts w:ascii="Times New Roman" w:hAnsi="Times New Roman" w:cs="Times New Roman"/>
          <w:sz w:val="24"/>
          <w:szCs w:val="24"/>
        </w:rPr>
        <w:t xml:space="preserve"> dehumanization</w:t>
      </w:r>
      <w:r>
        <w:rPr>
          <w:rFonts w:ascii="Times New Roman" w:hAnsi="Times New Roman" w:cs="Times New Roman"/>
          <w:sz w:val="24"/>
          <w:szCs w:val="24"/>
        </w:rPr>
        <w:t xml:space="preserve"> and law</w:t>
      </w:r>
      <w:r w:rsidRPr="001A4DF7">
        <w:rPr>
          <w:rFonts w:ascii="Times New Roman" w:hAnsi="Times New Roman" w:cs="Times New Roman"/>
          <w:sz w:val="24"/>
          <w:szCs w:val="24"/>
        </w:rPr>
        <w:t xml:space="preserve"> act</w:t>
      </w:r>
      <w:r>
        <w:rPr>
          <w:rFonts w:ascii="Times New Roman" w:hAnsi="Times New Roman" w:cs="Times New Roman"/>
          <w:sz w:val="24"/>
          <w:szCs w:val="24"/>
        </w:rPr>
        <w:t>ed</w:t>
      </w:r>
      <w:r w:rsidRPr="001A4DF7">
        <w:rPr>
          <w:rFonts w:ascii="Times New Roman" w:hAnsi="Times New Roman" w:cs="Times New Roman"/>
          <w:sz w:val="24"/>
          <w:szCs w:val="24"/>
        </w:rPr>
        <w:t xml:space="preserve"> as complementary enablers of political violence perpetrated by the US against those resid</w:t>
      </w:r>
      <w:r>
        <w:rPr>
          <w:rFonts w:ascii="Times New Roman" w:hAnsi="Times New Roman" w:cs="Times New Roman"/>
          <w:sz w:val="24"/>
          <w:szCs w:val="24"/>
        </w:rPr>
        <w:t>ing</w:t>
      </w:r>
      <w:r w:rsidRPr="001A4DF7">
        <w:rPr>
          <w:rFonts w:ascii="Times New Roman" w:hAnsi="Times New Roman" w:cs="Times New Roman"/>
          <w:sz w:val="24"/>
          <w:szCs w:val="24"/>
        </w:rPr>
        <w:t xml:space="preserve"> in the Global South. </w:t>
      </w:r>
    </w:p>
    <w:p w14:paraId="1260D28A" w14:textId="2779B846" w:rsidR="007723E0" w:rsidRDefault="007723E0" w:rsidP="007723E0">
      <w:pPr>
        <w:spacing w:after="0" w:line="480" w:lineRule="auto"/>
        <w:ind w:firstLine="720"/>
        <w:rPr>
          <w:rFonts w:ascii="Times New Roman" w:hAnsi="Times New Roman" w:cs="Times New Roman"/>
          <w:sz w:val="24"/>
          <w:szCs w:val="24"/>
        </w:rPr>
      </w:pPr>
    </w:p>
    <w:p w14:paraId="09EE5DE2" w14:textId="77777777" w:rsidR="007723E0" w:rsidRPr="001A4DF7" w:rsidRDefault="007723E0" w:rsidP="007723E0">
      <w:pPr>
        <w:spacing w:after="0" w:line="480" w:lineRule="auto"/>
        <w:rPr>
          <w:rFonts w:ascii="Times New Roman" w:hAnsi="Times New Roman" w:cs="Times New Roman"/>
          <w:b/>
          <w:sz w:val="24"/>
          <w:szCs w:val="24"/>
        </w:rPr>
      </w:pPr>
      <w:r w:rsidRPr="001A4DF7">
        <w:rPr>
          <w:rFonts w:ascii="Times New Roman" w:hAnsi="Times New Roman" w:cs="Times New Roman"/>
          <w:b/>
          <w:sz w:val="24"/>
          <w:szCs w:val="24"/>
        </w:rPr>
        <w:t xml:space="preserve">Analysis: </w:t>
      </w:r>
      <w:r>
        <w:rPr>
          <w:rFonts w:ascii="Times New Roman" w:hAnsi="Times New Roman" w:cs="Times New Roman"/>
          <w:b/>
          <w:sz w:val="24"/>
          <w:szCs w:val="24"/>
        </w:rPr>
        <w:t>d</w:t>
      </w:r>
      <w:r w:rsidRPr="001A4DF7">
        <w:rPr>
          <w:rFonts w:ascii="Times New Roman" w:hAnsi="Times New Roman" w:cs="Times New Roman"/>
          <w:b/>
          <w:sz w:val="24"/>
          <w:szCs w:val="24"/>
        </w:rPr>
        <w:t xml:space="preserve">ehumanization of the </w:t>
      </w:r>
      <w:r>
        <w:rPr>
          <w:rFonts w:ascii="Times New Roman" w:hAnsi="Times New Roman" w:cs="Times New Roman"/>
          <w:b/>
          <w:sz w:val="24"/>
          <w:szCs w:val="24"/>
        </w:rPr>
        <w:t>‘O</w:t>
      </w:r>
      <w:r w:rsidRPr="001A4DF7">
        <w:rPr>
          <w:rFonts w:ascii="Times New Roman" w:hAnsi="Times New Roman" w:cs="Times New Roman"/>
          <w:b/>
          <w:sz w:val="24"/>
          <w:szCs w:val="24"/>
        </w:rPr>
        <w:t>ther</w:t>
      </w:r>
      <w:r>
        <w:rPr>
          <w:rFonts w:ascii="Times New Roman" w:hAnsi="Times New Roman" w:cs="Times New Roman"/>
          <w:b/>
          <w:sz w:val="24"/>
          <w:szCs w:val="24"/>
        </w:rPr>
        <w:t>’</w:t>
      </w:r>
      <w:r w:rsidRPr="001A4DF7">
        <w:rPr>
          <w:rFonts w:ascii="Times New Roman" w:hAnsi="Times New Roman" w:cs="Times New Roman"/>
          <w:b/>
          <w:sz w:val="24"/>
          <w:szCs w:val="24"/>
        </w:rPr>
        <w:t xml:space="preserve"> from Bush’s </w:t>
      </w:r>
      <w:r>
        <w:rPr>
          <w:rFonts w:ascii="Times New Roman" w:hAnsi="Times New Roman" w:cs="Times New Roman"/>
          <w:b/>
          <w:sz w:val="24"/>
          <w:szCs w:val="24"/>
        </w:rPr>
        <w:t>a</w:t>
      </w:r>
      <w:r w:rsidRPr="001A4DF7">
        <w:rPr>
          <w:rFonts w:ascii="Times New Roman" w:hAnsi="Times New Roman" w:cs="Times New Roman"/>
          <w:b/>
          <w:sz w:val="24"/>
          <w:szCs w:val="24"/>
        </w:rPr>
        <w:t xml:space="preserve">nimals to Obama’s </w:t>
      </w:r>
      <w:r>
        <w:rPr>
          <w:rFonts w:ascii="Times New Roman" w:hAnsi="Times New Roman" w:cs="Times New Roman"/>
          <w:b/>
          <w:sz w:val="24"/>
          <w:szCs w:val="24"/>
        </w:rPr>
        <w:t>o</w:t>
      </w:r>
      <w:r w:rsidRPr="001A4DF7">
        <w:rPr>
          <w:rFonts w:ascii="Times New Roman" w:hAnsi="Times New Roman" w:cs="Times New Roman"/>
          <w:b/>
          <w:sz w:val="24"/>
          <w:szCs w:val="24"/>
        </w:rPr>
        <w:t>bjects</w:t>
      </w:r>
    </w:p>
    <w:p w14:paraId="00B28BE8" w14:textId="77777777" w:rsidR="007723E0" w:rsidRPr="001A4DF7" w:rsidRDefault="007723E0" w:rsidP="007723E0">
      <w:pPr>
        <w:spacing w:after="0" w:line="480" w:lineRule="auto"/>
        <w:rPr>
          <w:rFonts w:ascii="Times New Roman" w:hAnsi="Times New Roman" w:cs="Times New Roman"/>
          <w:sz w:val="24"/>
          <w:szCs w:val="24"/>
        </w:rPr>
      </w:pPr>
      <w:r w:rsidRPr="001A4DF7">
        <w:rPr>
          <w:rFonts w:ascii="Times New Roman" w:hAnsi="Times New Roman" w:cs="Times New Roman"/>
          <w:sz w:val="24"/>
          <w:szCs w:val="24"/>
        </w:rPr>
        <w:t>The act of dehumanizing one’s ‘enemy’ is not a recent phenomenon. It has a long history due to the important psychological effects it has on one’s ability to kill other humans. Campbell has shown that dehumanization featured prominently in discourses that helped to enable all of America’s foundational conflicts, from the ‘settling’ of the West, to the horrors of both World Wars.</w:t>
      </w:r>
      <w:r w:rsidRPr="001A4DF7">
        <w:rPr>
          <w:rStyle w:val="EndnoteReference"/>
          <w:rFonts w:ascii="Times New Roman" w:hAnsi="Times New Roman" w:cs="Times New Roman"/>
          <w:sz w:val="24"/>
          <w:szCs w:val="24"/>
        </w:rPr>
        <w:endnoteReference w:id="24"/>
      </w:r>
      <w:r w:rsidRPr="001A4DF7">
        <w:rPr>
          <w:rFonts w:ascii="Times New Roman" w:hAnsi="Times New Roman" w:cs="Times New Roman"/>
          <w:sz w:val="24"/>
          <w:szCs w:val="24"/>
        </w:rPr>
        <w:t xml:space="preserve"> In 1971, during an investigation into potential war crimes committed by the US in </w:t>
      </w:r>
      <w:r w:rsidRPr="001A4DF7">
        <w:rPr>
          <w:rFonts w:ascii="Times New Roman" w:hAnsi="Times New Roman" w:cs="Times New Roman"/>
          <w:sz w:val="24"/>
          <w:szCs w:val="24"/>
        </w:rPr>
        <w:lastRenderedPageBreak/>
        <w:t>Vietnam, Sgt. Jamie Henry stated that “once the military has got the idea implanted in your mind that these people are not humans, they are subhuman, it makes it a little bit easier to kill ‘</w:t>
      </w:r>
      <w:proofErr w:type="spellStart"/>
      <w:r w:rsidRPr="001A4DF7">
        <w:rPr>
          <w:rFonts w:ascii="Times New Roman" w:hAnsi="Times New Roman" w:cs="Times New Roman"/>
          <w:sz w:val="24"/>
          <w:szCs w:val="24"/>
        </w:rPr>
        <w:t>em</w:t>
      </w:r>
      <w:proofErr w:type="spellEnd"/>
      <w:r w:rsidRPr="001A4DF7">
        <w:rPr>
          <w:rFonts w:ascii="Times New Roman" w:hAnsi="Times New Roman" w:cs="Times New Roman"/>
          <w:sz w:val="24"/>
          <w:szCs w:val="24"/>
        </w:rPr>
        <w:t>.”</w:t>
      </w:r>
      <w:r w:rsidRPr="001A4DF7">
        <w:rPr>
          <w:rStyle w:val="EndnoteReference"/>
          <w:rFonts w:ascii="Times New Roman" w:hAnsi="Times New Roman" w:cs="Times New Roman"/>
          <w:sz w:val="24"/>
          <w:szCs w:val="24"/>
        </w:rPr>
        <w:endnoteReference w:id="25"/>
      </w:r>
    </w:p>
    <w:p w14:paraId="5CADED64" w14:textId="77777777" w:rsidR="007723E0" w:rsidRPr="001A4DF7" w:rsidRDefault="007723E0" w:rsidP="007723E0">
      <w:pPr>
        <w:spacing w:after="0" w:line="480" w:lineRule="auto"/>
        <w:rPr>
          <w:rFonts w:ascii="Times New Roman" w:hAnsi="Times New Roman" w:cs="Times New Roman"/>
          <w:sz w:val="24"/>
          <w:szCs w:val="24"/>
        </w:rPr>
      </w:pPr>
      <w:r w:rsidRPr="001A4DF7">
        <w:rPr>
          <w:rFonts w:ascii="Times New Roman" w:hAnsi="Times New Roman" w:cs="Times New Roman"/>
          <w:sz w:val="24"/>
          <w:szCs w:val="24"/>
        </w:rPr>
        <w:tab/>
        <w:t>Confirming Sgt. Henry’s claims, Bandura et al write, “Inflicting harm upon individuals who are regarded as subhuman or debased is less apt to arouse self-reproof than if they are seen as human beings with dignifying qualities. The reason for this is that people are reduced to base creatures.”</w:t>
      </w:r>
      <w:r w:rsidRPr="001A4DF7">
        <w:rPr>
          <w:rStyle w:val="EndnoteReference"/>
          <w:rFonts w:ascii="Times New Roman" w:hAnsi="Times New Roman" w:cs="Times New Roman"/>
          <w:sz w:val="24"/>
          <w:szCs w:val="24"/>
        </w:rPr>
        <w:endnoteReference w:id="26"/>
      </w:r>
      <w:r w:rsidRPr="001A4DF7">
        <w:rPr>
          <w:rFonts w:ascii="Times New Roman" w:hAnsi="Times New Roman" w:cs="Times New Roman"/>
          <w:sz w:val="24"/>
          <w:szCs w:val="24"/>
        </w:rPr>
        <w:t xml:space="preserve"> In this regard, dehumanization facilitates aggressive acts and is part of an active process that aims to reduce moral guilt or concern over the perpetration of such acts.</w:t>
      </w:r>
      <w:r w:rsidRPr="001A4DF7">
        <w:rPr>
          <w:rStyle w:val="EndnoteReference"/>
          <w:rFonts w:ascii="Times New Roman" w:hAnsi="Times New Roman" w:cs="Times New Roman"/>
          <w:sz w:val="24"/>
          <w:szCs w:val="24"/>
        </w:rPr>
        <w:endnoteReference w:id="27"/>
      </w:r>
      <w:r w:rsidRPr="001A4DF7">
        <w:rPr>
          <w:rFonts w:ascii="Times New Roman" w:hAnsi="Times New Roman" w:cs="Times New Roman"/>
          <w:sz w:val="24"/>
          <w:szCs w:val="24"/>
        </w:rPr>
        <w:t xml:space="preserve"> The process of dehumanization, therefore, has the capacity to convert humans into means to an end, making the victims instrumental tools in achieving some prescribed purpose.</w:t>
      </w:r>
      <w:r w:rsidRPr="001A4DF7">
        <w:rPr>
          <w:rStyle w:val="EndnoteReference"/>
          <w:rFonts w:ascii="Times New Roman" w:hAnsi="Times New Roman" w:cs="Times New Roman"/>
          <w:sz w:val="24"/>
          <w:szCs w:val="24"/>
        </w:rPr>
        <w:endnoteReference w:id="28"/>
      </w:r>
    </w:p>
    <w:p w14:paraId="1778F251" w14:textId="77777777" w:rsidR="007723E0" w:rsidRPr="001A4DF7" w:rsidRDefault="007723E0" w:rsidP="007723E0">
      <w:pPr>
        <w:spacing w:after="0" w:line="480" w:lineRule="auto"/>
        <w:rPr>
          <w:rFonts w:ascii="Times New Roman" w:hAnsi="Times New Roman" w:cs="Times New Roman"/>
          <w:sz w:val="24"/>
          <w:szCs w:val="24"/>
        </w:rPr>
      </w:pPr>
      <w:r w:rsidRPr="001A4DF7">
        <w:rPr>
          <w:rFonts w:ascii="Times New Roman" w:hAnsi="Times New Roman" w:cs="Times New Roman"/>
          <w:sz w:val="24"/>
          <w:szCs w:val="24"/>
        </w:rPr>
        <w:tab/>
        <w:t>In Haslam’s Dual Model of Dehumanization, one of the two basic forms the process of dehumanization takes involves reducing people to subhuman base creatures, typically through the portrayal of individuals or groups of people as animals. The other involves portraying individuals as mechanistic entities, or objects.</w:t>
      </w:r>
      <w:r w:rsidRPr="001A4DF7">
        <w:rPr>
          <w:rStyle w:val="EndnoteReference"/>
          <w:rFonts w:ascii="Times New Roman" w:hAnsi="Times New Roman" w:cs="Times New Roman"/>
          <w:sz w:val="24"/>
          <w:szCs w:val="24"/>
        </w:rPr>
        <w:endnoteReference w:id="29"/>
      </w:r>
      <w:r w:rsidRPr="001A4DF7">
        <w:rPr>
          <w:rFonts w:ascii="Times New Roman" w:hAnsi="Times New Roman" w:cs="Times New Roman"/>
          <w:sz w:val="24"/>
          <w:szCs w:val="24"/>
        </w:rPr>
        <w:t xml:space="preserve"> The former was the preferred method of the Bush administration, while the latter approach was innovatively employed by the Obama administration.</w:t>
      </w:r>
    </w:p>
    <w:p w14:paraId="15F4DC54" w14:textId="77777777" w:rsidR="007723E0" w:rsidRPr="001A4DF7" w:rsidRDefault="007723E0" w:rsidP="007723E0">
      <w:pPr>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t>Dehumanization under Bush was explicit. America’s enemies were portrayed in animalistic terms and their moral agency was stripped away. Descriptions of terrorists slithering around, hiding in holes, and attempting to save their hides were commonplace; they were parasites in an underworld.</w:t>
      </w:r>
      <w:r w:rsidRPr="001A4DF7">
        <w:rPr>
          <w:rStyle w:val="EndnoteReference"/>
          <w:rFonts w:ascii="Times New Roman" w:hAnsi="Times New Roman" w:cs="Times New Roman"/>
          <w:sz w:val="24"/>
          <w:szCs w:val="24"/>
        </w:rPr>
        <w:endnoteReference w:id="30"/>
      </w:r>
      <w:r w:rsidRPr="001A4DF7">
        <w:rPr>
          <w:rFonts w:ascii="Times New Roman" w:hAnsi="Times New Roman" w:cs="Times New Roman"/>
          <w:sz w:val="24"/>
          <w:szCs w:val="24"/>
        </w:rPr>
        <w:t xml:space="preserve"> </w:t>
      </w:r>
      <w:r>
        <w:rPr>
          <w:rFonts w:ascii="Times New Roman" w:hAnsi="Times New Roman" w:cs="Times New Roman"/>
          <w:sz w:val="24"/>
          <w:szCs w:val="24"/>
        </w:rPr>
        <w:t>A</w:t>
      </w:r>
      <w:r w:rsidRPr="001A4DF7">
        <w:rPr>
          <w:rFonts w:ascii="Times New Roman" w:hAnsi="Times New Roman" w:cs="Times New Roman"/>
          <w:sz w:val="24"/>
          <w:szCs w:val="24"/>
        </w:rPr>
        <w:t>s Jackson notes, “Such a formulation not only removes terrorists from the human community</w:t>
      </w:r>
      <w:r>
        <w:rPr>
          <w:rFonts w:ascii="Times New Roman" w:hAnsi="Times New Roman" w:cs="Times New Roman"/>
          <w:sz w:val="24"/>
          <w:szCs w:val="24"/>
        </w:rPr>
        <w:t xml:space="preserve">, </w:t>
      </w:r>
      <w:r w:rsidRPr="001A4DF7">
        <w:rPr>
          <w:rFonts w:ascii="Times New Roman" w:hAnsi="Times New Roman" w:cs="Times New Roman"/>
          <w:sz w:val="24"/>
          <w:szCs w:val="24"/>
        </w:rPr>
        <w:t>it also functions to de-politicize their motivations while simultaneously re-writing their actions as the expression of primitive savagery. Implicit within this formulation is the notion that rational political dialogue is impossible; savages require control and suppression, not accommodation.”</w:t>
      </w:r>
      <w:r w:rsidRPr="001A4DF7">
        <w:rPr>
          <w:rStyle w:val="EndnoteReference"/>
          <w:rFonts w:ascii="Times New Roman" w:hAnsi="Times New Roman" w:cs="Times New Roman"/>
          <w:sz w:val="24"/>
          <w:szCs w:val="24"/>
        </w:rPr>
        <w:endnoteReference w:id="31"/>
      </w:r>
      <w:r w:rsidRPr="001A4DF7">
        <w:rPr>
          <w:rFonts w:ascii="Times New Roman" w:hAnsi="Times New Roman" w:cs="Times New Roman"/>
          <w:sz w:val="24"/>
          <w:szCs w:val="24"/>
        </w:rPr>
        <w:t xml:space="preserve"> </w:t>
      </w:r>
    </w:p>
    <w:p w14:paraId="6DB54041" w14:textId="77777777" w:rsidR="007723E0" w:rsidRPr="001A4DF7" w:rsidRDefault="007723E0" w:rsidP="007723E0">
      <w:pPr>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lastRenderedPageBreak/>
        <w:t>For Bush, in his efforts to establish new and underpinning discourses of the war on terror, the language and mythology of the old (Wild) West was an important resource. The president was frequently mocked as aping the cowboys of his imagined Texan youth, even infamously misremembering a ‘Wanted: Dead or Alive’ poster when explaining his preferred stance on killing or capturing Osama bin Laden. His language between 2001 and 2003 was littered with western metaphors and phrases, as he constructed a discourse premised on particular understandings of good and evil that were founded in the mythology of ‘frontier justice’.</w:t>
      </w:r>
      <w:r w:rsidRPr="001A4DF7">
        <w:rPr>
          <w:rStyle w:val="EndnoteReference"/>
          <w:rFonts w:ascii="Times New Roman" w:hAnsi="Times New Roman" w:cs="Times New Roman"/>
          <w:sz w:val="24"/>
          <w:szCs w:val="24"/>
        </w:rPr>
        <w:endnoteReference w:id="32"/>
      </w:r>
      <w:r w:rsidRPr="001A4DF7">
        <w:rPr>
          <w:rFonts w:ascii="Times New Roman" w:hAnsi="Times New Roman" w:cs="Times New Roman"/>
          <w:sz w:val="24"/>
          <w:szCs w:val="24"/>
        </w:rPr>
        <w:t xml:space="preserve"> In mining the language of frontier mythology, Bush described the pursuit of terrorists rounding them up, hauling them in, and calling their hand; smoking them out of their caves, hunting them down, and encircling them.</w:t>
      </w:r>
      <w:r w:rsidRPr="001A4DF7">
        <w:rPr>
          <w:rStyle w:val="EndnoteReference"/>
          <w:rFonts w:ascii="Times New Roman" w:hAnsi="Times New Roman" w:cs="Times New Roman"/>
          <w:sz w:val="24"/>
          <w:szCs w:val="24"/>
        </w:rPr>
        <w:endnoteReference w:id="33"/>
      </w:r>
    </w:p>
    <w:p w14:paraId="5D6EF13A" w14:textId="77777777" w:rsidR="007723E0" w:rsidRPr="001A4DF7" w:rsidRDefault="007723E0" w:rsidP="007723E0">
      <w:pPr>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t>Within this discourse, terrorists were ascribed an identity based on features such as animal cowardice but also sub-human hatred, even where these framings sat uneasily together. Fanaticism in the pursuit of a pure form of evil drew a clear and sharp divide between Bush’s coalition of freedom-loving countries and the evil-doers.</w:t>
      </w:r>
      <w:r w:rsidRPr="001A4DF7">
        <w:rPr>
          <w:rStyle w:val="EndnoteReference"/>
          <w:rFonts w:ascii="Times New Roman" w:hAnsi="Times New Roman" w:cs="Times New Roman"/>
          <w:sz w:val="24"/>
          <w:szCs w:val="24"/>
        </w:rPr>
        <w:endnoteReference w:id="34"/>
      </w:r>
      <w:r w:rsidRPr="001A4DF7">
        <w:rPr>
          <w:rFonts w:ascii="Times New Roman" w:hAnsi="Times New Roman" w:cs="Times New Roman"/>
          <w:sz w:val="24"/>
          <w:szCs w:val="24"/>
        </w:rPr>
        <w:t xml:space="preserve"> </w:t>
      </w:r>
      <w:r>
        <w:rPr>
          <w:rFonts w:ascii="Times New Roman" w:hAnsi="Times New Roman" w:cs="Times New Roman"/>
          <w:sz w:val="24"/>
          <w:szCs w:val="24"/>
        </w:rPr>
        <w:t xml:space="preserve">And, of course, this framing was congruent with what most Americans have been taught. </w:t>
      </w:r>
      <w:r w:rsidRPr="001A4DF7">
        <w:rPr>
          <w:rFonts w:ascii="Times New Roman" w:hAnsi="Times New Roman" w:cs="Times New Roman"/>
          <w:sz w:val="24"/>
          <w:szCs w:val="24"/>
        </w:rPr>
        <w:t>Defining the ‘Other’ as evil appeal</w:t>
      </w:r>
      <w:r>
        <w:rPr>
          <w:rFonts w:ascii="Times New Roman" w:hAnsi="Times New Roman" w:cs="Times New Roman"/>
          <w:sz w:val="24"/>
          <w:szCs w:val="24"/>
        </w:rPr>
        <w:t>s</w:t>
      </w:r>
      <w:r w:rsidRPr="001A4DF7">
        <w:rPr>
          <w:rFonts w:ascii="Times New Roman" w:hAnsi="Times New Roman" w:cs="Times New Roman"/>
          <w:sz w:val="24"/>
          <w:szCs w:val="24"/>
        </w:rPr>
        <w:t xml:space="preserve"> to “the American’s belief that their government is incapable of committing acts of ‘evil’”, which “has much to do with the fact that Americans have been hearing, throughout their lives, about the ‘evil’ that resides in ‘other’ places.”</w:t>
      </w:r>
      <w:r w:rsidRPr="001A4DF7">
        <w:rPr>
          <w:rStyle w:val="EndnoteReference"/>
          <w:rFonts w:ascii="Times New Roman" w:hAnsi="Times New Roman" w:cs="Times New Roman"/>
          <w:sz w:val="24"/>
          <w:szCs w:val="24"/>
        </w:rPr>
        <w:endnoteReference w:id="35"/>
      </w:r>
    </w:p>
    <w:p w14:paraId="230521B9" w14:textId="5A94A62C" w:rsidR="006A339C" w:rsidRDefault="007723E0" w:rsidP="006A339C">
      <w:pPr>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t xml:space="preserve">Whereas the Bush administration </w:t>
      </w:r>
      <w:r>
        <w:rPr>
          <w:rFonts w:ascii="Times New Roman" w:hAnsi="Times New Roman" w:cs="Times New Roman"/>
          <w:sz w:val="24"/>
          <w:szCs w:val="24"/>
        </w:rPr>
        <w:t>amplified a commonplace and explicit</w:t>
      </w:r>
      <w:r w:rsidRPr="001A4DF7">
        <w:rPr>
          <w:rFonts w:ascii="Times New Roman" w:hAnsi="Times New Roman" w:cs="Times New Roman"/>
          <w:sz w:val="24"/>
          <w:szCs w:val="24"/>
        </w:rPr>
        <w:t xml:space="preserve"> </w:t>
      </w:r>
      <w:r>
        <w:rPr>
          <w:rFonts w:ascii="Times New Roman" w:hAnsi="Times New Roman" w:cs="Times New Roman"/>
          <w:sz w:val="24"/>
          <w:szCs w:val="24"/>
        </w:rPr>
        <w:t>form</w:t>
      </w:r>
      <w:r w:rsidRPr="001A4DF7">
        <w:rPr>
          <w:rFonts w:ascii="Times New Roman" w:hAnsi="Times New Roman" w:cs="Times New Roman"/>
          <w:sz w:val="24"/>
          <w:szCs w:val="24"/>
        </w:rPr>
        <w:t xml:space="preserve"> of dehumanization, the Obama administration innovatively employed Haslam’s second form of dehumanization, which focuses on the use of mechanistic, sanguine, and bureaucratic language to veil human qualities in the conduct of questionable violence. </w:t>
      </w:r>
      <w:r w:rsidR="00E623BA" w:rsidRPr="001A4DF7">
        <w:rPr>
          <w:rFonts w:ascii="Times New Roman" w:hAnsi="Times New Roman" w:cs="Times New Roman"/>
          <w:sz w:val="24"/>
          <w:szCs w:val="24"/>
        </w:rPr>
        <w:t xml:space="preserve">In every way possibly conceived, the Obama administration used non-descriptive accounts to transform the individuals it killed </w:t>
      </w:r>
      <w:r w:rsidR="00E623BA" w:rsidRPr="001A4DF7">
        <w:rPr>
          <w:rFonts w:ascii="Times New Roman" w:hAnsi="Times New Roman" w:cs="Times New Roman"/>
          <w:sz w:val="24"/>
          <w:szCs w:val="24"/>
        </w:rPr>
        <w:lastRenderedPageBreak/>
        <w:t>into objects and move the act of killing into the realm of the abstract. For the Obama administration, the act of killing was a sterile bureaucratic exercise. Non-descriptive accounts essentially hide the act of killing by using terminology that depicts something more benign. In their article on the killing of Osama bin Laden, Jarvis and Holland note how bin Laden’s death was initially articulated in primarily descriptive phrasing. However, they write, “While the language of death and killing persisted throughout the following weeks, over time it was gradually, but perceptively, substituted with less strictly descriptive accounts.”</w:t>
      </w:r>
      <w:r w:rsidR="00E623BA" w:rsidRPr="001A4DF7">
        <w:rPr>
          <w:rStyle w:val="EndnoteReference"/>
          <w:rFonts w:ascii="Times New Roman" w:hAnsi="Times New Roman" w:cs="Times New Roman"/>
          <w:sz w:val="24"/>
          <w:szCs w:val="24"/>
        </w:rPr>
        <w:endnoteReference w:id="36"/>
      </w:r>
      <w:r w:rsidR="00E623BA" w:rsidRPr="001A4DF7">
        <w:rPr>
          <w:rFonts w:ascii="Times New Roman" w:hAnsi="Times New Roman" w:cs="Times New Roman"/>
          <w:sz w:val="24"/>
          <w:szCs w:val="24"/>
        </w:rPr>
        <w:t xml:space="preserve"> In the six speeches analyzed, including the first in which its killing program was overtly acknowledged, the Obama administration did not proceed from descriptive to non-descriptive accounts. Instead, the act of killing was hidden behind a veil right from the start.</w:t>
      </w:r>
    </w:p>
    <w:p w14:paraId="273AC8FE" w14:textId="2AFFFD1C" w:rsidR="006A339C" w:rsidRPr="001A4DF7" w:rsidRDefault="006A339C" w:rsidP="006A339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D</w:t>
      </w:r>
      <w:r w:rsidR="00E623BA">
        <w:rPr>
          <w:rFonts w:ascii="Times New Roman" w:hAnsi="Times New Roman" w:cs="Times New Roman"/>
          <w:sz w:val="24"/>
          <w:szCs w:val="24"/>
        </w:rPr>
        <w:t>uring</w:t>
      </w:r>
      <w:r w:rsidR="00E623BA" w:rsidRPr="001A4DF7">
        <w:rPr>
          <w:rFonts w:ascii="Times New Roman" w:hAnsi="Times New Roman" w:cs="Times New Roman"/>
          <w:sz w:val="24"/>
          <w:szCs w:val="24"/>
        </w:rPr>
        <w:t xml:space="preserve"> 1991</w:t>
      </w:r>
      <w:r w:rsidR="00E623BA">
        <w:rPr>
          <w:rFonts w:ascii="Times New Roman" w:hAnsi="Times New Roman" w:cs="Times New Roman"/>
          <w:sz w:val="24"/>
          <w:szCs w:val="24"/>
        </w:rPr>
        <w:t>’s revolution in military affairs</w:t>
      </w:r>
      <w:r w:rsidR="00E623BA" w:rsidRPr="001A4DF7">
        <w:rPr>
          <w:rFonts w:ascii="Times New Roman" w:hAnsi="Times New Roman" w:cs="Times New Roman"/>
          <w:sz w:val="24"/>
          <w:szCs w:val="24"/>
        </w:rPr>
        <w:t>, US officials described American air strikes as “surgical” in nature. “Smart” bombs were dropped with “pinpoint accuracy.” As Knightley notes, describing the bombs as “smart” and the strikes that launch them as “surgical” painted a picture of “war almost without death, a sanitized version of what had gone on before.”</w:t>
      </w:r>
      <w:r w:rsidR="00E623BA" w:rsidRPr="001A4DF7">
        <w:rPr>
          <w:rStyle w:val="EndnoteReference"/>
          <w:rFonts w:ascii="Times New Roman" w:hAnsi="Times New Roman" w:cs="Times New Roman"/>
          <w:sz w:val="24"/>
          <w:szCs w:val="24"/>
        </w:rPr>
        <w:endnoteReference w:id="37"/>
      </w:r>
      <w:r w:rsidR="00E623BA" w:rsidRPr="001A4DF7">
        <w:rPr>
          <w:rFonts w:ascii="Times New Roman" w:hAnsi="Times New Roman" w:cs="Times New Roman"/>
          <w:sz w:val="24"/>
          <w:szCs w:val="24"/>
        </w:rPr>
        <w:t xml:space="preserve"> With killing from above being central to the Obama administration’s killing program, the death and destruction caused below required a healthy dose of disinfectant</w:t>
      </w:r>
      <w:r>
        <w:rPr>
          <w:rFonts w:ascii="Times New Roman" w:hAnsi="Times New Roman" w:cs="Times New Roman"/>
          <w:sz w:val="24"/>
          <w:szCs w:val="24"/>
        </w:rPr>
        <w:t xml:space="preserve">, which was achieved through the medicalization of the act of killing and the replacement of descriptive accounts with sterile terms. </w:t>
      </w:r>
    </w:p>
    <w:p w14:paraId="308970A6" w14:textId="532DFDAB" w:rsidR="00E623BA" w:rsidRPr="00426ABE" w:rsidRDefault="00E623BA" w:rsidP="00E623BA">
      <w:pPr>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t>Though it is not uncommon for military acts to be described as such, the Obama administration regularly referred to its acts of killing as “operations.”</w:t>
      </w:r>
      <w:r w:rsidRPr="001A4DF7">
        <w:rPr>
          <w:rStyle w:val="EndnoteReference"/>
          <w:rFonts w:ascii="Times New Roman" w:hAnsi="Times New Roman" w:cs="Times New Roman"/>
          <w:sz w:val="24"/>
          <w:szCs w:val="24"/>
        </w:rPr>
        <w:endnoteReference w:id="38"/>
      </w:r>
      <w:r w:rsidRPr="001A4DF7">
        <w:rPr>
          <w:rFonts w:ascii="Times New Roman" w:hAnsi="Times New Roman" w:cs="Times New Roman"/>
          <w:sz w:val="24"/>
          <w:szCs w:val="24"/>
        </w:rPr>
        <w:t xml:space="preserve"> Operations are corrective. They seek to address an existing malady that is causing harm to the patient. In this case, the malady is al-Qaeda and its affiliates. Therefore, these individuals must be surgically removed. During operations, it is also important that little or no damage is caused to the patient. Just as </w:t>
      </w:r>
      <w:r w:rsidRPr="001A4DF7">
        <w:rPr>
          <w:rFonts w:ascii="Times New Roman" w:hAnsi="Times New Roman" w:cs="Times New Roman"/>
          <w:sz w:val="24"/>
          <w:szCs w:val="24"/>
        </w:rPr>
        <w:lastRenderedPageBreak/>
        <w:t>was done with the “surgical strikes” of “Operation Desert Storm,” the Obama administration painted a picture of deadly force used so precisely that damage is caused only to the “military objective” through the ability to “pinpoint strike an al-Qaeda operative”</w:t>
      </w:r>
      <w:r w:rsidRPr="001A4DF7">
        <w:rPr>
          <w:rStyle w:val="EndnoteReference"/>
          <w:rFonts w:ascii="Times New Roman" w:hAnsi="Times New Roman" w:cs="Times New Roman"/>
          <w:sz w:val="24"/>
          <w:szCs w:val="24"/>
        </w:rPr>
        <w:endnoteReference w:id="39"/>
      </w:r>
      <w:r w:rsidRPr="001A4DF7">
        <w:rPr>
          <w:rFonts w:ascii="Times New Roman" w:hAnsi="Times New Roman" w:cs="Times New Roman"/>
          <w:sz w:val="24"/>
          <w:szCs w:val="24"/>
        </w:rPr>
        <w:t>, while the “risk of civilian casualties can be minimized or avoided altogether.”</w:t>
      </w:r>
      <w:r w:rsidRPr="001A4DF7">
        <w:rPr>
          <w:rStyle w:val="EndnoteReference"/>
          <w:rFonts w:ascii="Times New Roman" w:hAnsi="Times New Roman" w:cs="Times New Roman"/>
          <w:sz w:val="24"/>
          <w:szCs w:val="24"/>
        </w:rPr>
        <w:endnoteReference w:id="40"/>
      </w:r>
      <w:r w:rsidRPr="001A4DF7">
        <w:rPr>
          <w:rFonts w:ascii="Times New Roman" w:hAnsi="Times New Roman" w:cs="Times New Roman"/>
          <w:sz w:val="24"/>
          <w:szCs w:val="24"/>
        </w:rPr>
        <w:t xml:space="preserve"> In explicitly medical terms, Brennan claimed, “It’s this surgical precision—the ability, with laser-like focus, to eliminate the cancerous tumor called an al-</w:t>
      </w:r>
      <w:proofErr w:type="spellStart"/>
      <w:r w:rsidRPr="001A4DF7">
        <w:rPr>
          <w:rFonts w:ascii="Times New Roman" w:hAnsi="Times New Roman" w:cs="Times New Roman"/>
          <w:sz w:val="24"/>
          <w:szCs w:val="24"/>
        </w:rPr>
        <w:t>Qa'ida</w:t>
      </w:r>
      <w:proofErr w:type="spellEnd"/>
      <w:r w:rsidRPr="001A4DF7">
        <w:rPr>
          <w:rFonts w:ascii="Times New Roman" w:hAnsi="Times New Roman" w:cs="Times New Roman"/>
          <w:sz w:val="24"/>
          <w:szCs w:val="24"/>
        </w:rPr>
        <w:t xml:space="preserve"> terrorist while limiting damage </w:t>
      </w:r>
      <w:r w:rsidRPr="00426ABE">
        <w:rPr>
          <w:rFonts w:ascii="Times New Roman" w:hAnsi="Times New Roman" w:cs="Times New Roman"/>
          <w:sz w:val="24"/>
          <w:szCs w:val="24"/>
        </w:rPr>
        <w:t>to the tissue around it—that makes this counterterrorism tool so essential.”</w:t>
      </w:r>
      <w:r w:rsidRPr="00426ABE">
        <w:rPr>
          <w:rStyle w:val="EndnoteReference"/>
          <w:rFonts w:ascii="Times New Roman" w:hAnsi="Times New Roman" w:cs="Times New Roman"/>
          <w:sz w:val="24"/>
          <w:szCs w:val="24"/>
        </w:rPr>
        <w:endnoteReference w:id="41"/>
      </w:r>
    </w:p>
    <w:p w14:paraId="26696F1A" w14:textId="77A5D5A7" w:rsidR="00522710" w:rsidRPr="00426ABE" w:rsidRDefault="00522710" w:rsidP="00E623BA">
      <w:pPr>
        <w:spacing w:after="0" w:line="480" w:lineRule="auto"/>
        <w:ind w:firstLine="720"/>
        <w:rPr>
          <w:rFonts w:ascii="Times New Roman" w:hAnsi="Times New Roman" w:cs="Times New Roman"/>
          <w:sz w:val="24"/>
          <w:szCs w:val="24"/>
        </w:rPr>
      </w:pPr>
      <w:r w:rsidRPr="00426ABE">
        <w:rPr>
          <w:rFonts w:ascii="Times New Roman" w:hAnsi="Times New Roman" w:cs="Times New Roman"/>
          <w:sz w:val="24"/>
          <w:szCs w:val="24"/>
        </w:rPr>
        <w:t>There are multiple reasons behind these shifting types</w:t>
      </w:r>
      <w:r w:rsidR="0028244A" w:rsidRPr="00426ABE">
        <w:rPr>
          <w:rFonts w:ascii="Times New Roman" w:hAnsi="Times New Roman" w:cs="Times New Roman"/>
          <w:sz w:val="24"/>
          <w:szCs w:val="24"/>
        </w:rPr>
        <w:t xml:space="preserve"> and modes</w:t>
      </w:r>
      <w:r w:rsidRPr="00426ABE">
        <w:rPr>
          <w:rFonts w:ascii="Times New Roman" w:hAnsi="Times New Roman" w:cs="Times New Roman"/>
          <w:sz w:val="24"/>
          <w:szCs w:val="24"/>
        </w:rPr>
        <w:t xml:space="preserve"> of dehumanization. Moreover, the drivers of change interact complexly. However, most significantly, changes in dehumanizing rhetoric are inspired by presidential personality (Obama was a cautious president) and philosophy (Jeffersonian, not Jacksonian), in interaction with (new) technological capabilities (see</w:t>
      </w:r>
      <w:r w:rsidR="009447E1" w:rsidRPr="00426ABE">
        <w:rPr>
          <w:rFonts w:ascii="Times New Roman" w:hAnsi="Times New Roman" w:cs="Times New Roman"/>
          <w:sz w:val="24"/>
          <w:szCs w:val="24"/>
        </w:rPr>
        <w:t>, for example,</w:t>
      </w:r>
      <w:r w:rsidRPr="00426ABE">
        <w:rPr>
          <w:rFonts w:ascii="Times New Roman" w:hAnsi="Times New Roman" w:cs="Times New Roman"/>
          <w:sz w:val="24"/>
          <w:szCs w:val="24"/>
        </w:rPr>
        <w:t xml:space="preserve"> literatures on the ‘Revolution in Military Affairs’, ‘Fourth Generation Warfare’, and </w:t>
      </w:r>
      <w:r w:rsidR="009447E1" w:rsidRPr="00426ABE">
        <w:rPr>
          <w:rFonts w:ascii="Times New Roman" w:hAnsi="Times New Roman" w:cs="Times New Roman"/>
          <w:sz w:val="24"/>
          <w:szCs w:val="24"/>
        </w:rPr>
        <w:t>new</w:t>
      </w:r>
      <w:r w:rsidRPr="00426ABE">
        <w:rPr>
          <w:rFonts w:ascii="Times New Roman" w:hAnsi="Times New Roman" w:cs="Times New Roman"/>
          <w:sz w:val="24"/>
          <w:szCs w:val="24"/>
        </w:rPr>
        <w:t xml:space="preserve"> materiali</w:t>
      </w:r>
      <w:r w:rsidR="009447E1" w:rsidRPr="00426ABE">
        <w:rPr>
          <w:rFonts w:ascii="Times New Roman" w:hAnsi="Times New Roman" w:cs="Times New Roman"/>
          <w:sz w:val="24"/>
          <w:szCs w:val="24"/>
        </w:rPr>
        <w:t>st analyses</w:t>
      </w:r>
      <w:r w:rsidRPr="00426ABE">
        <w:rPr>
          <w:rFonts w:ascii="Times New Roman" w:hAnsi="Times New Roman" w:cs="Times New Roman"/>
          <w:sz w:val="24"/>
          <w:szCs w:val="24"/>
        </w:rPr>
        <w:t xml:space="preserve"> of foreign policy</w:t>
      </w:r>
      <w:r w:rsidR="009447E1" w:rsidRPr="00426ABE">
        <w:rPr>
          <w:rFonts w:ascii="Times New Roman" w:hAnsi="Times New Roman" w:cs="Times New Roman"/>
          <w:sz w:val="24"/>
          <w:szCs w:val="24"/>
        </w:rPr>
        <w:t>), as well as broader processes of identity construction (covering enemies generally and their deaths specifically</w:t>
      </w:r>
      <w:r w:rsidR="0028244A" w:rsidRPr="00426ABE">
        <w:rPr>
          <w:rFonts w:ascii="Times New Roman" w:hAnsi="Times New Roman" w:cs="Times New Roman"/>
          <w:sz w:val="24"/>
          <w:szCs w:val="24"/>
        </w:rPr>
        <w:t>)</w:t>
      </w:r>
      <w:r w:rsidR="009447E1" w:rsidRPr="00426ABE">
        <w:rPr>
          <w:rFonts w:ascii="Times New Roman" w:hAnsi="Times New Roman" w:cs="Times New Roman"/>
          <w:sz w:val="24"/>
          <w:szCs w:val="24"/>
        </w:rPr>
        <w:t>.</w:t>
      </w:r>
      <w:r w:rsidR="0028244A" w:rsidRPr="00426ABE">
        <w:rPr>
          <w:rFonts w:ascii="Times New Roman" w:hAnsi="Times New Roman" w:cs="Times New Roman"/>
          <w:sz w:val="24"/>
          <w:szCs w:val="24"/>
        </w:rPr>
        <w:t xml:space="preserve"> These elements combined to look more similar in the early 1990s and from 2008 onwards (cautious pragmatism and high-tech war), compared to the synergies of a post-9/11 Jacksonian moment, high-visibility weaponry (‘shock and awe’), and two large, protracted wars that oftentimes appeared unwinnable. </w:t>
      </w:r>
    </w:p>
    <w:p w14:paraId="23B34DF9" w14:textId="77777777" w:rsidR="00E623BA" w:rsidRPr="001A4DF7" w:rsidRDefault="00E623BA" w:rsidP="00E623BA">
      <w:pPr>
        <w:spacing w:after="0" w:line="480" w:lineRule="auto"/>
        <w:ind w:firstLine="720"/>
        <w:rPr>
          <w:rFonts w:ascii="Times New Roman" w:hAnsi="Times New Roman" w:cs="Times New Roman"/>
          <w:sz w:val="24"/>
          <w:szCs w:val="24"/>
        </w:rPr>
      </w:pPr>
      <w:r w:rsidRPr="00426ABE">
        <w:rPr>
          <w:rFonts w:ascii="Times New Roman" w:hAnsi="Times New Roman" w:cs="Times New Roman"/>
          <w:sz w:val="24"/>
          <w:szCs w:val="24"/>
        </w:rPr>
        <w:t>Whereas non-descriptive language was used by the Obama administration to discuss its killing program, it used very descriptive language when describing acts of violence committed by al-Qaeda. For example, Brennan stated, “We are at war against a terrorist</w:t>
      </w:r>
      <w:r w:rsidRPr="001A4DF7">
        <w:rPr>
          <w:rFonts w:ascii="Times New Roman" w:hAnsi="Times New Roman" w:cs="Times New Roman"/>
          <w:sz w:val="24"/>
          <w:szCs w:val="24"/>
        </w:rPr>
        <w:t xml:space="preserve"> organization called al-</w:t>
      </w:r>
      <w:proofErr w:type="spellStart"/>
      <w:r w:rsidRPr="001A4DF7">
        <w:rPr>
          <w:rFonts w:ascii="Times New Roman" w:hAnsi="Times New Roman" w:cs="Times New Roman"/>
          <w:sz w:val="24"/>
          <w:szCs w:val="24"/>
        </w:rPr>
        <w:t>Qa'ida</w:t>
      </w:r>
      <w:proofErr w:type="spellEnd"/>
      <w:r w:rsidRPr="001A4DF7">
        <w:rPr>
          <w:rFonts w:ascii="Times New Roman" w:hAnsi="Times New Roman" w:cs="Times New Roman"/>
          <w:sz w:val="24"/>
          <w:szCs w:val="24"/>
        </w:rPr>
        <w:t xml:space="preserve"> that has brutally murdered thousands of Americans—men, women and children—as well as thousands of other innocent people around the world.”</w:t>
      </w:r>
      <w:r w:rsidRPr="001A4DF7">
        <w:rPr>
          <w:rStyle w:val="EndnoteReference"/>
          <w:rFonts w:ascii="Times New Roman" w:hAnsi="Times New Roman" w:cs="Times New Roman"/>
          <w:sz w:val="24"/>
          <w:szCs w:val="24"/>
        </w:rPr>
        <w:endnoteReference w:id="42"/>
      </w:r>
      <w:r w:rsidRPr="001A4DF7">
        <w:rPr>
          <w:rFonts w:ascii="Times New Roman" w:hAnsi="Times New Roman" w:cs="Times New Roman"/>
          <w:sz w:val="24"/>
          <w:szCs w:val="24"/>
        </w:rPr>
        <w:t xml:space="preserve"> Thus, the US is “obliged to take </w:t>
      </w:r>
      <w:r w:rsidRPr="001A4DF7">
        <w:rPr>
          <w:rFonts w:ascii="Times New Roman" w:hAnsi="Times New Roman" w:cs="Times New Roman"/>
          <w:sz w:val="24"/>
          <w:szCs w:val="24"/>
        </w:rPr>
        <w:lastRenderedPageBreak/>
        <w:t>lives—the lives of terrorists” who are “intent on murdering Americans.”</w:t>
      </w:r>
      <w:r w:rsidRPr="001A4DF7">
        <w:rPr>
          <w:rStyle w:val="EndnoteReference"/>
          <w:rFonts w:ascii="Times New Roman" w:hAnsi="Times New Roman" w:cs="Times New Roman"/>
          <w:sz w:val="24"/>
          <w:szCs w:val="24"/>
        </w:rPr>
        <w:endnoteReference w:id="43"/>
      </w:r>
      <w:r w:rsidRPr="001A4DF7">
        <w:rPr>
          <w:rFonts w:ascii="Times New Roman" w:hAnsi="Times New Roman" w:cs="Times New Roman"/>
          <w:sz w:val="24"/>
          <w:szCs w:val="24"/>
        </w:rPr>
        <w:t xml:space="preserve"> In this description, a number of distinctions can be made. First, the US passively takes the lives of terrorists, whereas al-Qaeda brutally murders innocent men, women, and children. Second, while the identities of those suspected of participation in political violence have been removed, the humanity of their victims is clearly present in identifying them as individuals with human identities—men, women, and children—and a nationality—American. </w:t>
      </w:r>
    </w:p>
    <w:p w14:paraId="30C30FBE" w14:textId="77777777" w:rsidR="00E623BA" w:rsidRPr="001A4DF7" w:rsidRDefault="00E623BA" w:rsidP="00E623BA">
      <w:pPr>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t xml:space="preserve">The same cannot be said for the Obama administration’s victims who had no ties whatsoever to al-Qaeda or ‘associated </w:t>
      </w:r>
      <w:proofErr w:type="gramStart"/>
      <w:r w:rsidRPr="001A4DF7">
        <w:rPr>
          <w:rFonts w:ascii="Times New Roman" w:hAnsi="Times New Roman" w:cs="Times New Roman"/>
          <w:sz w:val="24"/>
          <w:szCs w:val="24"/>
        </w:rPr>
        <w:t>forces’</w:t>
      </w:r>
      <w:proofErr w:type="gramEnd"/>
      <w:r w:rsidRPr="001A4DF7">
        <w:rPr>
          <w:rFonts w:ascii="Times New Roman" w:hAnsi="Times New Roman" w:cs="Times New Roman"/>
          <w:sz w:val="24"/>
          <w:szCs w:val="24"/>
        </w:rPr>
        <w:t>. Their identities as Pakistanis and Yemenis—men, women, and children—are subsumed under the labels of ‘collateral damage’ and ‘civilian casualties’.</w:t>
      </w:r>
      <w:r w:rsidRPr="001A4DF7">
        <w:rPr>
          <w:rStyle w:val="EndnoteReference"/>
          <w:rFonts w:ascii="Times New Roman" w:hAnsi="Times New Roman" w:cs="Times New Roman"/>
          <w:sz w:val="24"/>
          <w:szCs w:val="24"/>
        </w:rPr>
        <w:endnoteReference w:id="44"/>
      </w:r>
      <w:r w:rsidRPr="001A4DF7">
        <w:rPr>
          <w:rFonts w:ascii="Times New Roman" w:hAnsi="Times New Roman" w:cs="Times New Roman"/>
          <w:sz w:val="24"/>
          <w:szCs w:val="24"/>
        </w:rPr>
        <w:t xml:space="preserve"> Because both the US and al-Qaeda maintain </w:t>
      </w:r>
      <w:r w:rsidRPr="001A4DF7">
        <w:rPr>
          <w:rFonts w:ascii="Times New Roman" w:hAnsi="Times New Roman" w:cs="Times New Roman"/>
          <w:iCs/>
          <w:sz w:val="24"/>
          <w:szCs w:val="24"/>
        </w:rPr>
        <w:t xml:space="preserve">killing programs, the former’s goodness and the latter’s evilness is maintained (primarily and perhaps only) based on the intentions behind their respective killings. As </w:t>
      </w:r>
      <w:proofErr w:type="spellStart"/>
      <w:r w:rsidRPr="001A4DF7">
        <w:rPr>
          <w:rFonts w:ascii="Times New Roman" w:hAnsi="Times New Roman" w:cs="Times New Roman"/>
          <w:iCs/>
          <w:sz w:val="24"/>
          <w:szCs w:val="24"/>
        </w:rPr>
        <w:t>Tirman</w:t>
      </w:r>
      <w:proofErr w:type="spellEnd"/>
      <w:r w:rsidRPr="001A4DF7">
        <w:rPr>
          <w:rFonts w:ascii="Times New Roman" w:hAnsi="Times New Roman" w:cs="Times New Roman"/>
          <w:iCs/>
          <w:sz w:val="24"/>
          <w:szCs w:val="24"/>
        </w:rPr>
        <w:t xml:space="preserve"> notes, </w:t>
      </w:r>
      <w:r w:rsidRPr="001A4DF7">
        <w:rPr>
          <w:rFonts w:ascii="Times New Roman" w:hAnsi="Times New Roman" w:cs="Times New Roman"/>
          <w:sz w:val="24"/>
          <w:szCs w:val="24"/>
        </w:rPr>
        <w:t>“apologists for American behavior range across the political spectrum and typically settle on a few devices to ward off closer inspection: the U.S. military has rules in place to protect civilians...the enemy and its sympathizers exaggerate civilian casualties; the other side is worse, and so on…. Actual practices and consequences are thus shuffled to the side, and the conventional wisdom is secured.”</w:t>
      </w:r>
      <w:r w:rsidRPr="001A4DF7">
        <w:rPr>
          <w:rStyle w:val="EndnoteReference"/>
          <w:rFonts w:ascii="Times New Roman" w:hAnsi="Times New Roman" w:cs="Times New Roman"/>
          <w:sz w:val="24"/>
          <w:szCs w:val="24"/>
        </w:rPr>
        <w:endnoteReference w:id="45"/>
      </w:r>
      <w:r w:rsidRPr="001A4DF7">
        <w:rPr>
          <w:rFonts w:ascii="Times New Roman" w:hAnsi="Times New Roman" w:cs="Times New Roman"/>
          <w:sz w:val="24"/>
          <w:szCs w:val="24"/>
        </w:rPr>
        <w:t xml:space="preserve"> Hence, when the Obama administration kills civilians it is made more acceptable by proclamations regarding how hard it tries to avoid killing them. “One reason for this is that concern is directed away from the civilians as dead individuals and toward such things as the issue of ‘correct’ or ‘successful’ targeting and at the intentions of those who target.”</w:t>
      </w:r>
      <w:r w:rsidRPr="001A4DF7">
        <w:rPr>
          <w:rStyle w:val="EndnoteReference"/>
          <w:rFonts w:ascii="Times New Roman" w:hAnsi="Times New Roman" w:cs="Times New Roman"/>
          <w:sz w:val="24"/>
          <w:szCs w:val="24"/>
        </w:rPr>
        <w:endnoteReference w:id="46"/>
      </w:r>
      <w:r w:rsidRPr="001A4DF7">
        <w:rPr>
          <w:rFonts w:ascii="Times New Roman" w:hAnsi="Times New Roman" w:cs="Times New Roman"/>
          <w:sz w:val="24"/>
          <w:szCs w:val="24"/>
        </w:rPr>
        <w:t xml:space="preserve"> In other words, what is more important than the fact that civilians are killed is that the Obama administration does not intend to kill them. Thus, it retains its moral superiority over the enemy. </w:t>
      </w:r>
    </w:p>
    <w:p w14:paraId="463FAE09" w14:textId="77777777" w:rsidR="00E623BA" w:rsidRPr="001A4DF7" w:rsidRDefault="00E623BA" w:rsidP="00E623BA">
      <w:pPr>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lastRenderedPageBreak/>
        <w:t>On numerous occasions, the Obama administration emphasized the lengths it goes to “avoid broader harm to civilians and civilian objects.”</w:t>
      </w:r>
      <w:r w:rsidRPr="001A4DF7">
        <w:rPr>
          <w:rStyle w:val="EndnoteReference"/>
          <w:rFonts w:ascii="Times New Roman" w:hAnsi="Times New Roman" w:cs="Times New Roman"/>
          <w:sz w:val="24"/>
          <w:szCs w:val="24"/>
        </w:rPr>
        <w:endnoteReference w:id="47"/>
      </w:r>
      <w:r w:rsidRPr="001A4DF7">
        <w:rPr>
          <w:rFonts w:ascii="Times New Roman" w:hAnsi="Times New Roman" w:cs="Times New Roman"/>
          <w:sz w:val="24"/>
          <w:szCs w:val="24"/>
        </w:rPr>
        <w:t xml:space="preserve"> Such claims were reminiscent of Bush’s appeals to humanitarianism in his insistence that, in Afghanistan, US forces would drop food at the same time as they were dropping bombs. In using “technologically advanced weapons,” the Obama administration argued it was able to “ensure that the best intelligence is available for planning and carrying out operations, and that the risk of civilian casualties can be minimized or avoided altogether.”</w:t>
      </w:r>
      <w:r w:rsidRPr="001A4DF7">
        <w:rPr>
          <w:rStyle w:val="EndnoteReference"/>
          <w:rFonts w:ascii="Times New Roman" w:hAnsi="Times New Roman" w:cs="Times New Roman"/>
          <w:sz w:val="24"/>
          <w:szCs w:val="24"/>
        </w:rPr>
        <w:endnoteReference w:id="48"/>
      </w:r>
      <w:r w:rsidRPr="001A4DF7">
        <w:rPr>
          <w:rFonts w:ascii="Times New Roman" w:hAnsi="Times New Roman" w:cs="Times New Roman"/>
          <w:sz w:val="24"/>
          <w:szCs w:val="24"/>
        </w:rPr>
        <w:t xml:space="preserve"> Such technology could be used, the Obama administration reiterated, to decide “against conducting a strike in order to avoid the injury or death of innocent civilians.”</w:t>
      </w:r>
      <w:r w:rsidRPr="001A4DF7">
        <w:rPr>
          <w:rStyle w:val="EndnoteReference"/>
          <w:rFonts w:ascii="Times New Roman" w:hAnsi="Times New Roman" w:cs="Times New Roman"/>
          <w:sz w:val="24"/>
          <w:szCs w:val="24"/>
        </w:rPr>
        <w:endnoteReference w:id="49"/>
      </w:r>
      <w:r w:rsidRPr="001A4DF7">
        <w:rPr>
          <w:rFonts w:ascii="Times New Roman" w:hAnsi="Times New Roman" w:cs="Times New Roman"/>
          <w:sz w:val="24"/>
          <w:szCs w:val="24"/>
        </w:rPr>
        <w:t xml:space="preserve"> “This,” according to Brennan, “reflects our commitment to doing everything in our power to avoid civilian casualties—even if it means having to come back another day to take out that terrorist, as we have done. And I would note that these standards—for identifying a target and avoiding the loss of innocent civilians—exceed what is required as a matter of international law on a typical battlefield. That's another example of the high standards to which we hold ourselves.”</w:t>
      </w:r>
      <w:r w:rsidRPr="001A4DF7">
        <w:rPr>
          <w:rStyle w:val="EndnoteReference"/>
          <w:rFonts w:ascii="Times New Roman" w:hAnsi="Times New Roman" w:cs="Times New Roman"/>
          <w:sz w:val="24"/>
          <w:szCs w:val="24"/>
        </w:rPr>
        <w:endnoteReference w:id="50"/>
      </w:r>
    </w:p>
    <w:p w14:paraId="14046A16" w14:textId="77777777" w:rsidR="00E623BA" w:rsidRPr="001A4DF7" w:rsidRDefault="00E623BA" w:rsidP="00E623BA">
      <w:pPr>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t>Within this framing, whereas the Obama administration goes above and beyond what is required of it—a reflection of American values—al-</w:t>
      </w:r>
      <w:r w:rsidRPr="001A4DF7">
        <w:rPr>
          <w:rFonts w:ascii="Times New Roman" w:hAnsi="Times New Roman" w:cs="Times New Roman"/>
          <w:iCs/>
          <w:sz w:val="24"/>
          <w:szCs w:val="24"/>
        </w:rPr>
        <w:t>Qaeda seeks only to “kill innocent Americans.”</w:t>
      </w:r>
      <w:r w:rsidRPr="001A4DF7">
        <w:rPr>
          <w:rStyle w:val="EndnoteReference"/>
          <w:rFonts w:ascii="Times New Roman" w:hAnsi="Times New Roman" w:cs="Times New Roman"/>
          <w:iCs/>
          <w:sz w:val="24"/>
          <w:szCs w:val="24"/>
        </w:rPr>
        <w:endnoteReference w:id="51"/>
      </w:r>
      <w:r w:rsidRPr="001A4DF7">
        <w:rPr>
          <w:rFonts w:ascii="Times New Roman" w:hAnsi="Times New Roman" w:cs="Times New Roman"/>
          <w:iCs/>
          <w:sz w:val="24"/>
          <w:szCs w:val="24"/>
        </w:rPr>
        <w:t xml:space="preserve"> Obama implored Americans to “remember that the terrorists we are after target civilians, and the death toll from their acts of terrorism against Muslims dwarfs any estimate of civilian casualties.”</w:t>
      </w:r>
      <w:r w:rsidRPr="001A4DF7">
        <w:rPr>
          <w:rStyle w:val="EndnoteReference"/>
          <w:rFonts w:ascii="Times New Roman" w:hAnsi="Times New Roman" w:cs="Times New Roman"/>
          <w:iCs/>
          <w:sz w:val="24"/>
          <w:szCs w:val="24"/>
        </w:rPr>
        <w:endnoteReference w:id="52"/>
      </w:r>
      <w:r w:rsidRPr="001A4DF7">
        <w:rPr>
          <w:rFonts w:ascii="Times New Roman" w:hAnsi="Times New Roman" w:cs="Times New Roman"/>
          <w:iCs/>
          <w:sz w:val="24"/>
          <w:szCs w:val="24"/>
        </w:rPr>
        <w:t xml:space="preserve"> And, moreover, these acts of killing had very different consequences for their perpetrators respective identities. Whereas “al-</w:t>
      </w:r>
      <w:proofErr w:type="spellStart"/>
      <w:r w:rsidRPr="001A4DF7">
        <w:rPr>
          <w:rFonts w:ascii="Times New Roman" w:hAnsi="Times New Roman" w:cs="Times New Roman"/>
          <w:iCs/>
          <w:sz w:val="24"/>
          <w:szCs w:val="24"/>
        </w:rPr>
        <w:t>Qa’ida’s</w:t>
      </w:r>
      <w:proofErr w:type="spellEnd"/>
      <w:r w:rsidRPr="001A4DF7">
        <w:rPr>
          <w:rFonts w:ascii="Times New Roman" w:hAnsi="Times New Roman" w:cs="Times New Roman"/>
          <w:iCs/>
          <w:sz w:val="24"/>
          <w:szCs w:val="24"/>
        </w:rPr>
        <w:t xml:space="preserve"> killing of innocents—mostly Muslim men, women and children—has badly tarnished its image and appeal in the eyes of Muslims around the world”</w:t>
      </w:r>
      <w:r w:rsidRPr="001A4DF7">
        <w:rPr>
          <w:rStyle w:val="EndnoteReference"/>
          <w:rFonts w:ascii="Times New Roman" w:hAnsi="Times New Roman" w:cs="Times New Roman"/>
          <w:iCs/>
          <w:sz w:val="24"/>
          <w:szCs w:val="24"/>
        </w:rPr>
        <w:endnoteReference w:id="53"/>
      </w:r>
      <w:r w:rsidRPr="001A4DF7">
        <w:rPr>
          <w:rFonts w:ascii="Times New Roman" w:hAnsi="Times New Roman" w:cs="Times New Roman"/>
          <w:iCs/>
          <w:sz w:val="24"/>
          <w:szCs w:val="24"/>
        </w:rPr>
        <w:t xml:space="preserve">, </w:t>
      </w:r>
      <w:r w:rsidRPr="001A4DF7">
        <w:rPr>
          <w:rFonts w:ascii="Times New Roman" w:hAnsi="Times New Roman" w:cs="Times New Roman"/>
          <w:sz w:val="24"/>
          <w:szCs w:val="24"/>
        </w:rPr>
        <w:t xml:space="preserve">when the US kills innocent men, women, and children, also known as “collateral damage,” it does nothing to tarnish America’s moral prestige. As </w:t>
      </w:r>
      <w:proofErr w:type="spellStart"/>
      <w:r w:rsidRPr="001A4DF7">
        <w:rPr>
          <w:rFonts w:ascii="Times New Roman" w:hAnsi="Times New Roman" w:cs="Times New Roman"/>
          <w:sz w:val="24"/>
          <w:szCs w:val="24"/>
        </w:rPr>
        <w:t>Rediehs</w:t>
      </w:r>
      <w:proofErr w:type="spellEnd"/>
      <w:r w:rsidRPr="001A4DF7">
        <w:rPr>
          <w:rFonts w:ascii="Times New Roman" w:hAnsi="Times New Roman" w:cs="Times New Roman"/>
          <w:sz w:val="24"/>
          <w:szCs w:val="24"/>
        </w:rPr>
        <w:t xml:space="preserve"> points </w:t>
      </w:r>
      <w:r w:rsidRPr="001A4DF7">
        <w:rPr>
          <w:rFonts w:ascii="Times New Roman" w:hAnsi="Times New Roman" w:cs="Times New Roman"/>
          <w:sz w:val="24"/>
          <w:szCs w:val="24"/>
        </w:rPr>
        <w:lastRenderedPageBreak/>
        <w:t xml:space="preserve">out, “we value human life; we don’t intend to kill civilians; in fact we minimize rather than maximize the loss of innocent life”; they, on the other hand, “the evil enemies, </w:t>
      </w:r>
      <w:r w:rsidRPr="001A4DF7">
        <w:rPr>
          <w:rFonts w:ascii="Times New Roman" w:hAnsi="Times New Roman" w:cs="Times New Roman"/>
          <w:i/>
          <w:sz w:val="24"/>
          <w:szCs w:val="24"/>
        </w:rPr>
        <w:t xml:space="preserve">intend </w:t>
      </w:r>
      <w:r w:rsidRPr="001A4DF7">
        <w:rPr>
          <w:rFonts w:ascii="Times New Roman" w:hAnsi="Times New Roman" w:cs="Times New Roman"/>
          <w:sz w:val="24"/>
          <w:szCs w:val="24"/>
        </w:rPr>
        <w:t>to kill lots of innocent people and then gloat when they succeed. What differentiates the good people, then, from the evil ones is a difference of feelings and attitudes.”</w:t>
      </w:r>
      <w:r w:rsidRPr="001A4DF7">
        <w:rPr>
          <w:rStyle w:val="EndnoteReference"/>
          <w:rFonts w:ascii="Times New Roman" w:hAnsi="Times New Roman" w:cs="Times New Roman"/>
          <w:sz w:val="24"/>
          <w:szCs w:val="24"/>
        </w:rPr>
        <w:endnoteReference w:id="54"/>
      </w:r>
      <w:r w:rsidRPr="001A4DF7">
        <w:rPr>
          <w:rFonts w:ascii="Times New Roman" w:hAnsi="Times New Roman" w:cs="Times New Roman"/>
          <w:sz w:val="24"/>
          <w:szCs w:val="24"/>
        </w:rPr>
        <w:t xml:space="preserve"> And it is surely easier to feel the right things, when </w:t>
      </w:r>
      <w:r w:rsidRPr="001A4DF7">
        <w:rPr>
          <w:rFonts w:ascii="Times New Roman" w:hAnsi="Times New Roman" w:cs="Times New Roman"/>
          <w:iCs/>
          <w:sz w:val="24"/>
          <w:szCs w:val="24"/>
        </w:rPr>
        <w:t xml:space="preserve">the men, women, and children who are killed by the US are reduced to </w:t>
      </w:r>
      <w:r w:rsidRPr="001A4DF7">
        <w:rPr>
          <w:rFonts w:ascii="Times New Roman" w:hAnsi="Times New Roman" w:cs="Times New Roman"/>
          <w:sz w:val="24"/>
          <w:szCs w:val="24"/>
        </w:rPr>
        <w:t>nonentities – nameless, faceless, and ageless – described merely as</w:t>
      </w:r>
      <w:r w:rsidRPr="001A4DF7">
        <w:rPr>
          <w:rFonts w:ascii="Times New Roman" w:hAnsi="Times New Roman" w:cs="Times New Roman"/>
          <w:iCs/>
          <w:sz w:val="24"/>
          <w:szCs w:val="24"/>
        </w:rPr>
        <w:t xml:space="preserve"> “collateral damage” or “civilian casualties.”</w:t>
      </w:r>
      <w:r w:rsidRPr="001A4DF7">
        <w:rPr>
          <w:rStyle w:val="EndnoteReference"/>
          <w:rFonts w:ascii="Times New Roman" w:hAnsi="Times New Roman" w:cs="Times New Roman"/>
          <w:iCs/>
          <w:sz w:val="24"/>
          <w:szCs w:val="24"/>
        </w:rPr>
        <w:endnoteReference w:id="55"/>
      </w:r>
      <w:r w:rsidRPr="001A4DF7">
        <w:rPr>
          <w:rFonts w:ascii="Times New Roman" w:hAnsi="Times New Roman" w:cs="Times New Roman"/>
          <w:iCs/>
          <w:sz w:val="24"/>
          <w:szCs w:val="24"/>
        </w:rPr>
        <w:t xml:space="preserve"> </w:t>
      </w:r>
    </w:p>
    <w:p w14:paraId="419F8459" w14:textId="5121BE8D" w:rsidR="00E623BA" w:rsidRPr="00426ABE" w:rsidRDefault="00E623BA" w:rsidP="00E623BA">
      <w:pPr>
        <w:spacing w:after="0" w:line="480" w:lineRule="auto"/>
        <w:ind w:firstLine="720"/>
        <w:rPr>
          <w:rFonts w:ascii="Times New Roman" w:hAnsi="Times New Roman" w:cs="Times New Roman"/>
          <w:sz w:val="24"/>
          <w:szCs w:val="24"/>
        </w:rPr>
      </w:pPr>
      <w:r w:rsidRPr="001A4DF7">
        <w:rPr>
          <w:rFonts w:ascii="Times New Roman" w:hAnsi="Times New Roman" w:cs="Times New Roman"/>
          <w:iCs/>
          <w:sz w:val="24"/>
          <w:szCs w:val="24"/>
        </w:rPr>
        <w:t>With the right feelings, it is easy to justify killing.</w:t>
      </w:r>
      <w:r w:rsidRPr="001A4DF7">
        <w:rPr>
          <w:rStyle w:val="EndnoteReference"/>
          <w:rFonts w:ascii="Times New Roman" w:hAnsi="Times New Roman" w:cs="Times New Roman"/>
          <w:iCs/>
          <w:sz w:val="24"/>
          <w:szCs w:val="24"/>
        </w:rPr>
        <w:endnoteReference w:id="56"/>
      </w:r>
      <w:r w:rsidRPr="001A4DF7">
        <w:rPr>
          <w:rFonts w:ascii="Times New Roman" w:hAnsi="Times New Roman" w:cs="Times New Roman"/>
          <w:iCs/>
          <w:sz w:val="24"/>
          <w:szCs w:val="24"/>
        </w:rPr>
        <w:t xml:space="preserve"> The right feelings include “regret” when individuals who were not intended to be are killed. It is typical for </w:t>
      </w:r>
      <w:r w:rsidRPr="001A4DF7">
        <w:rPr>
          <w:rFonts w:ascii="Times New Roman" w:hAnsi="Times New Roman" w:cs="Times New Roman"/>
          <w:sz w:val="24"/>
          <w:szCs w:val="24"/>
        </w:rPr>
        <w:t>American officials to express that civilian deaths are tragic and regrettable.</w:t>
      </w:r>
      <w:r w:rsidRPr="001A4DF7">
        <w:rPr>
          <w:rStyle w:val="EndnoteReference"/>
          <w:rFonts w:ascii="Times New Roman" w:hAnsi="Times New Roman" w:cs="Times New Roman"/>
          <w:sz w:val="24"/>
          <w:szCs w:val="24"/>
        </w:rPr>
        <w:endnoteReference w:id="57"/>
      </w:r>
      <w:r w:rsidRPr="001A4DF7">
        <w:rPr>
          <w:rFonts w:ascii="Times New Roman" w:hAnsi="Times New Roman" w:cs="Times New Roman"/>
          <w:sz w:val="24"/>
          <w:szCs w:val="24"/>
        </w:rPr>
        <w:t xml:space="preserve"> </w:t>
      </w:r>
      <w:r w:rsidRPr="001A4DF7">
        <w:rPr>
          <w:rFonts w:ascii="Times New Roman" w:hAnsi="Times New Roman" w:cs="Times New Roman"/>
          <w:iCs/>
          <w:sz w:val="24"/>
          <w:szCs w:val="24"/>
        </w:rPr>
        <w:t>Brennan acknowledged the “exceedingly rare” instances when “civilians have been accidently injured, or worse, killed in these strikes.”</w:t>
      </w:r>
      <w:r w:rsidRPr="001A4DF7">
        <w:rPr>
          <w:rStyle w:val="EndnoteReference"/>
          <w:rFonts w:ascii="Times New Roman" w:hAnsi="Times New Roman" w:cs="Times New Roman"/>
          <w:iCs/>
          <w:sz w:val="24"/>
          <w:szCs w:val="24"/>
        </w:rPr>
        <w:endnoteReference w:id="58"/>
      </w:r>
      <w:r w:rsidRPr="001A4DF7">
        <w:rPr>
          <w:rFonts w:ascii="Times New Roman" w:hAnsi="Times New Roman" w:cs="Times New Roman"/>
          <w:iCs/>
          <w:sz w:val="24"/>
          <w:szCs w:val="24"/>
        </w:rPr>
        <w:t xml:space="preserve"> “When it does happen,” according to Brennan, “it pains us </w:t>
      </w:r>
      <w:r w:rsidRPr="001A4DF7">
        <w:rPr>
          <w:rFonts w:ascii="Times New Roman" w:hAnsi="Times New Roman" w:cs="Times New Roman"/>
          <w:sz w:val="24"/>
          <w:szCs w:val="24"/>
        </w:rPr>
        <w:t>and we regret it deeply, as we do any time innocents are killed in war…. This too is a reflection of our values as Americans.”</w:t>
      </w:r>
      <w:r w:rsidRPr="001A4DF7">
        <w:rPr>
          <w:rStyle w:val="EndnoteReference"/>
          <w:rFonts w:ascii="Times New Roman" w:hAnsi="Times New Roman" w:cs="Times New Roman"/>
          <w:sz w:val="24"/>
          <w:szCs w:val="24"/>
        </w:rPr>
        <w:endnoteReference w:id="59"/>
      </w:r>
      <w:r w:rsidRPr="001A4DF7">
        <w:rPr>
          <w:rFonts w:ascii="Times New Roman" w:hAnsi="Times New Roman" w:cs="Times New Roman"/>
          <w:sz w:val="24"/>
          <w:szCs w:val="24"/>
        </w:rPr>
        <w:t xml:space="preserve"> </w:t>
      </w:r>
      <w:r w:rsidRPr="001A4DF7">
        <w:rPr>
          <w:rFonts w:ascii="Times New Roman" w:hAnsi="Times New Roman" w:cs="Times New Roman"/>
          <w:iCs/>
          <w:sz w:val="24"/>
          <w:szCs w:val="24"/>
        </w:rPr>
        <w:t>Because the US intends only to kill “guilty” individuals and is remorseful when it kills “innocents,” it can kill thousands of people and still proclaim: “</w:t>
      </w:r>
      <w:r w:rsidRPr="001A4DF7">
        <w:rPr>
          <w:rFonts w:ascii="Times New Roman" w:hAnsi="Times New Roman" w:cs="Times New Roman"/>
          <w:sz w:val="24"/>
          <w:szCs w:val="24"/>
        </w:rPr>
        <w:t>Our greatest strength has long been not merely our military might but our</w:t>
      </w:r>
      <w:r w:rsidRPr="001A4DF7">
        <w:rPr>
          <w:rFonts w:ascii="Times New Roman" w:hAnsi="Times New Roman" w:cs="Times New Roman"/>
          <w:iCs/>
          <w:sz w:val="24"/>
          <w:szCs w:val="24"/>
        </w:rPr>
        <w:t xml:space="preserve"> </w:t>
      </w:r>
      <w:r w:rsidRPr="001A4DF7">
        <w:rPr>
          <w:rFonts w:ascii="Times New Roman" w:hAnsi="Times New Roman" w:cs="Times New Roman"/>
          <w:sz w:val="24"/>
          <w:szCs w:val="24"/>
        </w:rPr>
        <w:t>moral authority. Our surest protection against assault from abroad has been not all our guards, gates and</w:t>
      </w:r>
      <w:r w:rsidRPr="001A4DF7">
        <w:rPr>
          <w:rFonts w:ascii="Times New Roman" w:hAnsi="Times New Roman" w:cs="Times New Roman"/>
          <w:iCs/>
          <w:sz w:val="24"/>
          <w:szCs w:val="24"/>
        </w:rPr>
        <w:t xml:space="preserve"> </w:t>
      </w:r>
      <w:r w:rsidRPr="001A4DF7">
        <w:rPr>
          <w:rFonts w:ascii="Times New Roman" w:hAnsi="Times New Roman" w:cs="Times New Roman"/>
          <w:sz w:val="24"/>
          <w:szCs w:val="24"/>
        </w:rPr>
        <w:t xml:space="preserve">guns or even </w:t>
      </w:r>
      <w:r w:rsidRPr="00426ABE">
        <w:rPr>
          <w:rFonts w:ascii="Times New Roman" w:hAnsi="Times New Roman" w:cs="Times New Roman"/>
          <w:sz w:val="24"/>
          <w:szCs w:val="24"/>
        </w:rPr>
        <w:t>our two oceans, but our essential goodness as a people.”</w:t>
      </w:r>
      <w:r w:rsidRPr="00426ABE">
        <w:rPr>
          <w:rStyle w:val="EndnoteReference"/>
          <w:rFonts w:ascii="Times New Roman" w:hAnsi="Times New Roman" w:cs="Times New Roman"/>
          <w:sz w:val="24"/>
          <w:szCs w:val="24"/>
        </w:rPr>
        <w:endnoteReference w:id="60"/>
      </w:r>
      <w:r w:rsidRPr="00426ABE">
        <w:rPr>
          <w:rFonts w:ascii="Times New Roman" w:hAnsi="Times New Roman" w:cs="Times New Roman"/>
          <w:sz w:val="24"/>
          <w:szCs w:val="24"/>
        </w:rPr>
        <w:t xml:space="preserve"> </w:t>
      </w:r>
      <w:r w:rsidRPr="00426ABE">
        <w:rPr>
          <w:rFonts w:ascii="Times New Roman" w:hAnsi="Times New Roman" w:cs="Times New Roman"/>
          <w:iCs/>
          <w:sz w:val="24"/>
          <w:szCs w:val="24"/>
        </w:rPr>
        <w:t>Quite simply, this defense amounted to the assertion that “We’re better than them. We’re Americans.”</w:t>
      </w:r>
      <w:r w:rsidRPr="00426ABE">
        <w:rPr>
          <w:rStyle w:val="EndnoteReference"/>
          <w:rFonts w:ascii="Times New Roman" w:hAnsi="Times New Roman" w:cs="Times New Roman"/>
          <w:iCs/>
          <w:sz w:val="24"/>
          <w:szCs w:val="24"/>
        </w:rPr>
        <w:endnoteReference w:id="61"/>
      </w:r>
    </w:p>
    <w:p w14:paraId="04292267" w14:textId="737B536D" w:rsidR="007723E0" w:rsidRPr="00BA1316" w:rsidRDefault="00BA1316" w:rsidP="00BA1316">
      <w:pPr>
        <w:spacing w:after="0" w:line="480" w:lineRule="auto"/>
        <w:ind w:firstLine="720"/>
        <w:rPr>
          <w:rFonts w:ascii="Times New Roman" w:hAnsi="Times New Roman" w:cs="Times New Roman"/>
          <w:b/>
          <w:sz w:val="24"/>
          <w:szCs w:val="24"/>
        </w:rPr>
      </w:pPr>
      <w:r w:rsidRPr="00426ABE">
        <w:rPr>
          <w:rFonts w:ascii="Times New Roman" w:hAnsi="Times New Roman" w:cs="Times New Roman"/>
          <w:sz w:val="24"/>
          <w:szCs w:val="24"/>
        </w:rPr>
        <w:t>T</w:t>
      </w:r>
      <w:r w:rsidR="00E623BA" w:rsidRPr="00426ABE">
        <w:rPr>
          <w:rFonts w:ascii="Times New Roman" w:hAnsi="Times New Roman" w:cs="Times New Roman"/>
          <w:sz w:val="24"/>
          <w:szCs w:val="24"/>
        </w:rPr>
        <w:t>he</w:t>
      </w:r>
      <w:r w:rsidRPr="00426ABE">
        <w:rPr>
          <w:rFonts w:ascii="Times New Roman" w:hAnsi="Times New Roman" w:cs="Times New Roman"/>
          <w:sz w:val="24"/>
          <w:szCs w:val="24"/>
        </w:rPr>
        <w:t xml:space="preserve"> Obama administration’s</w:t>
      </w:r>
      <w:r w:rsidR="00E623BA" w:rsidRPr="00426ABE">
        <w:rPr>
          <w:rFonts w:ascii="Times New Roman" w:hAnsi="Times New Roman" w:cs="Times New Roman"/>
          <w:sz w:val="24"/>
          <w:szCs w:val="24"/>
        </w:rPr>
        <w:t xml:space="preserve"> most significant</w:t>
      </w:r>
      <w:r w:rsidRPr="00426ABE">
        <w:rPr>
          <w:rFonts w:ascii="Times New Roman" w:hAnsi="Times New Roman" w:cs="Times New Roman"/>
          <w:sz w:val="24"/>
          <w:szCs w:val="24"/>
        </w:rPr>
        <w:t xml:space="preserve"> technique of dehumanization was the systematic denial of the humanity of the people they killed by turning them into objects that were destroyed. </w:t>
      </w:r>
      <w:r w:rsidR="007723E0" w:rsidRPr="00426ABE">
        <w:rPr>
          <w:rFonts w:ascii="Times New Roman" w:hAnsi="Times New Roman" w:cs="Times New Roman"/>
          <w:sz w:val="24"/>
          <w:szCs w:val="24"/>
        </w:rPr>
        <w:t>While innovative, this language harked back to</w:t>
      </w:r>
      <w:r w:rsidR="007723E0">
        <w:rPr>
          <w:rFonts w:ascii="Times New Roman" w:hAnsi="Times New Roman" w:cs="Times New Roman"/>
          <w:sz w:val="24"/>
          <w:szCs w:val="24"/>
        </w:rPr>
        <w:t xml:space="preserve"> the techno-linguistic reasoning on display during the first Gulf War; when, for instance, an</w:t>
      </w:r>
      <w:r w:rsidR="007723E0" w:rsidRPr="001A4DF7">
        <w:rPr>
          <w:rFonts w:ascii="Times New Roman" w:hAnsi="Times New Roman" w:cs="Times New Roman"/>
          <w:sz w:val="24"/>
          <w:szCs w:val="24"/>
        </w:rPr>
        <w:t xml:space="preserve"> artillery captain </w:t>
      </w:r>
      <w:r w:rsidR="007723E0">
        <w:rPr>
          <w:rFonts w:ascii="Times New Roman" w:hAnsi="Times New Roman" w:cs="Times New Roman"/>
          <w:sz w:val="24"/>
          <w:szCs w:val="24"/>
        </w:rPr>
        <w:t>noted</w:t>
      </w:r>
      <w:r w:rsidR="007723E0" w:rsidRPr="001A4DF7">
        <w:rPr>
          <w:rFonts w:ascii="Times New Roman" w:hAnsi="Times New Roman" w:cs="Times New Roman"/>
          <w:sz w:val="24"/>
          <w:szCs w:val="24"/>
        </w:rPr>
        <w:t xml:space="preserve">, “I prefer not to </w:t>
      </w:r>
      <w:r w:rsidR="007723E0" w:rsidRPr="001A4DF7">
        <w:rPr>
          <w:rFonts w:ascii="Times New Roman" w:hAnsi="Times New Roman" w:cs="Times New Roman"/>
          <w:sz w:val="24"/>
          <w:szCs w:val="24"/>
        </w:rPr>
        <w:lastRenderedPageBreak/>
        <w:t>say we are killing other people. I prefer to say we are ‘servicing the target’.”</w:t>
      </w:r>
      <w:r w:rsidR="007723E0" w:rsidRPr="001A4DF7">
        <w:rPr>
          <w:rStyle w:val="EndnoteReference"/>
          <w:rFonts w:ascii="Times New Roman" w:hAnsi="Times New Roman" w:cs="Times New Roman"/>
          <w:sz w:val="24"/>
          <w:szCs w:val="24"/>
        </w:rPr>
        <w:endnoteReference w:id="62"/>
      </w:r>
      <w:r w:rsidR="007723E0" w:rsidRPr="001A4DF7">
        <w:rPr>
          <w:rFonts w:ascii="Times New Roman" w:hAnsi="Times New Roman" w:cs="Times New Roman"/>
          <w:sz w:val="24"/>
          <w:szCs w:val="24"/>
        </w:rPr>
        <w:t xml:space="preserve"> “Servicing” substitutes for the act of killing and the use of “target” transforms the humans being killed into objects, objects which are meant to be hit. As Neisser notes, “The language of targets thus helps move the actions of war into the realm of the abstract; it objectifies human life… Slowly, step by step, U.S. observers are inured to the obvious and awful loss of life taking place.”</w:t>
      </w:r>
      <w:r w:rsidR="007723E0" w:rsidRPr="001A4DF7">
        <w:rPr>
          <w:rStyle w:val="EndnoteReference"/>
          <w:rFonts w:ascii="Times New Roman" w:hAnsi="Times New Roman" w:cs="Times New Roman"/>
          <w:sz w:val="24"/>
          <w:szCs w:val="24"/>
        </w:rPr>
        <w:endnoteReference w:id="63"/>
      </w:r>
      <w:r w:rsidR="007723E0" w:rsidRPr="001A4DF7">
        <w:rPr>
          <w:rFonts w:ascii="Times New Roman" w:hAnsi="Times New Roman" w:cs="Times New Roman"/>
          <w:sz w:val="24"/>
          <w:szCs w:val="24"/>
        </w:rPr>
        <w:t xml:space="preserve"> </w:t>
      </w:r>
    </w:p>
    <w:p w14:paraId="437A9A2F" w14:textId="77777777" w:rsidR="004A41B0" w:rsidRPr="001A4DF7" w:rsidRDefault="004A41B0" w:rsidP="004A41B0">
      <w:pPr>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t xml:space="preserve">The Obama administration’s effort to dehumanize the individuals it sought to kill and to move its killing program into the abstract is evident in </w:t>
      </w:r>
      <w:proofErr w:type="spellStart"/>
      <w:r w:rsidRPr="001A4DF7">
        <w:rPr>
          <w:rFonts w:ascii="Times New Roman" w:hAnsi="Times New Roman" w:cs="Times New Roman"/>
          <w:sz w:val="24"/>
          <w:szCs w:val="24"/>
        </w:rPr>
        <w:t>Jeh</w:t>
      </w:r>
      <w:proofErr w:type="spellEnd"/>
      <w:r w:rsidRPr="001A4DF7">
        <w:rPr>
          <w:rFonts w:ascii="Times New Roman" w:hAnsi="Times New Roman" w:cs="Times New Roman"/>
          <w:sz w:val="24"/>
          <w:szCs w:val="24"/>
        </w:rPr>
        <w:t xml:space="preserve"> Johnson’s address at Yale Law School. In transitioning to his discussion of the killing program, Johnson states, “I want to spend a moment on what some people refer to as ‘targeted killing’.”</w:t>
      </w:r>
      <w:r w:rsidRPr="001A4DF7">
        <w:rPr>
          <w:rStyle w:val="EndnoteReference"/>
          <w:rFonts w:ascii="Times New Roman" w:hAnsi="Times New Roman" w:cs="Times New Roman"/>
          <w:sz w:val="24"/>
          <w:szCs w:val="24"/>
        </w:rPr>
        <w:endnoteReference w:id="64"/>
      </w:r>
      <w:r w:rsidRPr="001A4DF7">
        <w:rPr>
          <w:rFonts w:ascii="Times New Roman" w:hAnsi="Times New Roman" w:cs="Times New Roman"/>
          <w:sz w:val="24"/>
          <w:szCs w:val="24"/>
        </w:rPr>
        <w:t xml:space="preserve"> What is obvious in Johnson’s statement is that, while some do, the Obama administration does not refer to its policy in this manner. In fact, this is the only time “targeted killing” is used in the six speeches analyzed for this article. However, in total, ‘target’, ‘targeted’, and ‘targeting’ were used more than 100 times in these same six speeches. Thus, it is clear that the term ‘targeted’ is not what is problematic, but rather only the term ‘killing’. </w:t>
      </w:r>
    </w:p>
    <w:p w14:paraId="5179D6FD" w14:textId="7D319177" w:rsidR="004A41B0" w:rsidRPr="00426ABE" w:rsidRDefault="004A41B0" w:rsidP="004A41B0">
      <w:pPr>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t>In its use of “target” and the term’s variations, the Obama administration eliminates the act of killing and the human identity of the victims. The way in which individuals are identified and killed become “targeting practices”</w:t>
      </w:r>
      <w:r w:rsidRPr="001A4DF7">
        <w:rPr>
          <w:rStyle w:val="EndnoteReference"/>
          <w:rFonts w:ascii="Times New Roman" w:hAnsi="Times New Roman" w:cs="Times New Roman"/>
          <w:sz w:val="24"/>
          <w:szCs w:val="24"/>
        </w:rPr>
        <w:endnoteReference w:id="65"/>
      </w:r>
      <w:r w:rsidRPr="001A4DF7">
        <w:rPr>
          <w:rFonts w:ascii="Times New Roman" w:hAnsi="Times New Roman" w:cs="Times New Roman"/>
          <w:sz w:val="24"/>
          <w:szCs w:val="24"/>
        </w:rPr>
        <w:t xml:space="preserve"> or the “approach to targeting”</w:t>
      </w:r>
      <w:r w:rsidRPr="001A4DF7">
        <w:rPr>
          <w:rStyle w:val="EndnoteReference"/>
          <w:rFonts w:ascii="Times New Roman" w:hAnsi="Times New Roman" w:cs="Times New Roman"/>
          <w:sz w:val="24"/>
          <w:szCs w:val="24"/>
        </w:rPr>
        <w:endnoteReference w:id="66"/>
      </w:r>
      <w:r w:rsidRPr="001A4DF7">
        <w:rPr>
          <w:rFonts w:ascii="Times New Roman" w:hAnsi="Times New Roman" w:cs="Times New Roman"/>
          <w:sz w:val="24"/>
          <w:szCs w:val="24"/>
        </w:rPr>
        <w:t>; the deliberations that determine who should be killed become “targeting decisions”</w:t>
      </w:r>
      <w:r w:rsidRPr="001A4DF7">
        <w:rPr>
          <w:rStyle w:val="EndnoteReference"/>
          <w:rFonts w:ascii="Times New Roman" w:hAnsi="Times New Roman" w:cs="Times New Roman"/>
          <w:sz w:val="24"/>
          <w:szCs w:val="24"/>
        </w:rPr>
        <w:endnoteReference w:id="67"/>
      </w:r>
      <w:r w:rsidRPr="001A4DF7">
        <w:rPr>
          <w:rFonts w:ascii="Times New Roman" w:hAnsi="Times New Roman" w:cs="Times New Roman"/>
          <w:sz w:val="24"/>
          <w:szCs w:val="24"/>
        </w:rPr>
        <w:t xml:space="preserve">; the </w:t>
      </w:r>
      <w:r w:rsidRPr="001A4DF7">
        <w:rPr>
          <w:rFonts w:ascii="Times New Roman" w:hAnsi="Times New Roman" w:cs="Times New Roman"/>
          <w:sz w:val="24"/>
          <w:szCs w:val="24"/>
          <w:shd w:val="clear" w:color="auto" w:fill="FFFFFF"/>
        </w:rPr>
        <w:t>legal framework that regulates the act of killing are the “rules that govern targeting”</w:t>
      </w:r>
      <w:r w:rsidRPr="001A4DF7">
        <w:rPr>
          <w:rStyle w:val="EndnoteReference"/>
          <w:rFonts w:ascii="Times New Roman" w:hAnsi="Times New Roman" w:cs="Times New Roman"/>
          <w:sz w:val="24"/>
          <w:szCs w:val="24"/>
          <w:shd w:val="clear" w:color="auto" w:fill="FFFFFF"/>
        </w:rPr>
        <w:endnoteReference w:id="68"/>
      </w:r>
      <w:r w:rsidRPr="001A4DF7">
        <w:rPr>
          <w:rFonts w:ascii="Times New Roman" w:hAnsi="Times New Roman" w:cs="Times New Roman"/>
          <w:sz w:val="24"/>
          <w:szCs w:val="24"/>
          <w:shd w:val="clear" w:color="auto" w:fill="FFFFFF"/>
        </w:rPr>
        <w:t>;</w:t>
      </w:r>
      <w:r w:rsidRPr="001A4DF7">
        <w:rPr>
          <w:rFonts w:ascii="Times New Roman" w:hAnsi="Times New Roman" w:cs="Times New Roman"/>
          <w:sz w:val="24"/>
          <w:szCs w:val="24"/>
        </w:rPr>
        <w:t xml:space="preserve"> implementation of the decision to kill someone becomes “the act of targeting”</w:t>
      </w:r>
      <w:r w:rsidRPr="001A4DF7">
        <w:rPr>
          <w:rStyle w:val="EndnoteReference"/>
          <w:rFonts w:ascii="Times New Roman" w:hAnsi="Times New Roman" w:cs="Times New Roman"/>
          <w:sz w:val="24"/>
          <w:szCs w:val="24"/>
        </w:rPr>
        <w:endnoteReference w:id="69"/>
      </w:r>
      <w:r w:rsidRPr="001A4DF7">
        <w:rPr>
          <w:rFonts w:ascii="Times New Roman" w:hAnsi="Times New Roman" w:cs="Times New Roman"/>
          <w:sz w:val="24"/>
          <w:szCs w:val="24"/>
        </w:rPr>
        <w:t xml:space="preserve"> or “targeting operations”</w:t>
      </w:r>
      <w:r w:rsidRPr="001A4DF7">
        <w:rPr>
          <w:rStyle w:val="EndnoteReference"/>
          <w:rFonts w:ascii="Times New Roman" w:hAnsi="Times New Roman" w:cs="Times New Roman"/>
          <w:sz w:val="24"/>
          <w:szCs w:val="24"/>
        </w:rPr>
        <w:endnoteReference w:id="70"/>
      </w:r>
      <w:r w:rsidRPr="001A4DF7">
        <w:rPr>
          <w:rFonts w:ascii="Times New Roman" w:hAnsi="Times New Roman" w:cs="Times New Roman"/>
          <w:sz w:val="24"/>
          <w:szCs w:val="24"/>
        </w:rPr>
        <w:t>; individuals are not killed, they are “targeted”</w:t>
      </w:r>
      <w:r w:rsidRPr="001A4DF7">
        <w:rPr>
          <w:rStyle w:val="EndnoteReference"/>
          <w:rFonts w:ascii="Times New Roman" w:hAnsi="Times New Roman" w:cs="Times New Roman"/>
          <w:sz w:val="24"/>
          <w:szCs w:val="24"/>
        </w:rPr>
        <w:endnoteReference w:id="71"/>
      </w:r>
      <w:r w:rsidRPr="001A4DF7">
        <w:rPr>
          <w:rFonts w:ascii="Times New Roman" w:hAnsi="Times New Roman" w:cs="Times New Roman"/>
          <w:sz w:val="24"/>
          <w:szCs w:val="24"/>
        </w:rPr>
        <w:t>; those who are “targeted” are not individuals, they are “targets”</w:t>
      </w:r>
      <w:r>
        <w:rPr>
          <w:rStyle w:val="EndnoteReference"/>
          <w:rFonts w:ascii="Times New Roman" w:hAnsi="Times New Roman" w:cs="Times New Roman"/>
          <w:sz w:val="24"/>
          <w:szCs w:val="24"/>
        </w:rPr>
        <w:endnoteReference w:id="72"/>
      </w:r>
      <w:r w:rsidRPr="001A4DF7">
        <w:rPr>
          <w:rFonts w:ascii="Times New Roman" w:hAnsi="Times New Roman" w:cs="Times New Roman"/>
          <w:sz w:val="24"/>
          <w:szCs w:val="24"/>
        </w:rPr>
        <w:t>; and all of the above form the “subject of targeting.”</w:t>
      </w:r>
      <w:r w:rsidRPr="001A4DF7">
        <w:rPr>
          <w:rStyle w:val="EndnoteReference"/>
          <w:rFonts w:ascii="Times New Roman" w:hAnsi="Times New Roman" w:cs="Times New Roman"/>
          <w:sz w:val="24"/>
          <w:szCs w:val="24"/>
        </w:rPr>
        <w:endnoteReference w:id="73"/>
      </w:r>
      <w:r w:rsidRPr="001A4DF7">
        <w:rPr>
          <w:rFonts w:ascii="Times New Roman" w:hAnsi="Times New Roman" w:cs="Times New Roman"/>
          <w:sz w:val="24"/>
          <w:szCs w:val="24"/>
        </w:rPr>
        <w:t xml:space="preserve"> </w:t>
      </w:r>
    </w:p>
    <w:p w14:paraId="18518455" w14:textId="2EDA48E0" w:rsidR="00565992" w:rsidRPr="00426ABE" w:rsidRDefault="00DA6ED2" w:rsidP="00565992">
      <w:pPr>
        <w:spacing w:after="0" w:line="480" w:lineRule="auto"/>
        <w:ind w:firstLine="720"/>
        <w:rPr>
          <w:rFonts w:ascii="Times New Roman" w:hAnsi="Times New Roman" w:cs="Times New Roman"/>
          <w:sz w:val="24"/>
          <w:szCs w:val="24"/>
        </w:rPr>
      </w:pPr>
      <w:r w:rsidRPr="00426ABE">
        <w:rPr>
          <w:rFonts w:ascii="Times New Roman" w:hAnsi="Times New Roman" w:cs="Times New Roman"/>
          <w:sz w:val="24"/>
          <w:szCs w:val="24"/>
        </w:rPr>
        <w:lastRenderedPageBreak/>
        <w:t>The Obama administration’s use of the word target to describe its victims and the act of killing was central to a dehumanization strategy that denied the individuals killed of the agency to be recognized as humans</w:t>
      </w:r>
      <w:r w:rsidR="00671DEE" w:rsidRPr="00426ABE">
        <w:rPr>
          <w:rFonts w:ascii="Times New Roman" w:hAnsi="Times New Roman" w:cs="Times New Roman"/>
          <w:sz w:val="24"/>
          <w:szCs w:val="24"/>
        </w:rPr>
        <w:t>. This is true even of the individuals who were killed that never participated in any acts of violence against the US or did so as ‘accidental guerrillas’—those who were radicalized only after a US attack killed family or community members.</w:t>
      </w:r>
      <w:r w:rsidR="00671DEE" w:rsidRPr="00426ABE">
        <w:rPr>
          <w:rStyle w:val="EndnoteReference"/>
          <w:rFonts w:ascii="Times New Roman" w:hAnsi="Times New Roman" w:cs="Times New Roman"/>
          <w:sz w:val="24"/>
          <w:szCs w:val="24"/>
        </w:rPr>
        <w:endnoteReference w:id="74"/>
      </w:r>
      <w:r w:rsidR="00671DEE" w:rsidRPr="00426ABE">
        <w:rPr>
          <w:rFonts w:ascii="Times New Roman" w:hAnsi="Times New Roman" w:cs="Times New Roman"/>
          <w:sz w:val="24"/>
          <w:szCs w:val="24"/>
        </w:rPr>
        <w:t xml:space="preserve"> Whereas ‘civilians’ are “an ‘agentic’ category of persons,”</w:t>
      </w:r>
      <w:r w:rsidR="00671DEE" w:rsidRPr="00426ABE">
        <w:rPr>
          <w:rStyle w:val="EndnoteReference"/>
          <w:rFonts w:ascii="Times New Roman" w:hAnsi="Times New Roman" w:cs="Times New Roman"/>
          <w:sz w:val="24"/>
          <w:szCs w:val="24"/>
        </w:rPr>
        <w:endnoteReference w:id="75"/>
      </w:r>
      <w:r w:rsidR="00671DEE" w:rsidRPr="00426ABE">
        <w:rPr>
          <w:rFonts w:ascii="Times New Roman" w:hAnsi="Times New Roman" w:cs="Times New Roman"/>
          <w:sz w:val="24"/>
          <w:szCs w:val="24"/>
        </w:rPr>
        <w:t xml:space="preserve"> targets “are the object of action by others.”</w:t>
      </w:r>
      <w:r w:rsidR="00671DEE" w:rsidRPr="00426ABE">
        <w:rPr>
          <w:rStyle w:val="EndnoteReference"/>
          <w:rFonts w:ascii="Times New Roman" w:hAnsi="Times New Roman" w:cs="Times New Roman"/>
          <w:sz w:val="24"/>
          <w:szCs w:val="24"/>
        </w:rPr>
        <w:endnoteReference w:id="76"/>
      </w:r>
      <w:r w:rsidR="00671DEE" w:rsidRPr="00426ABE">
        <w:rPr>
          <w:rFonts w:ascii="Times New Roman" w:hAnsi="Times New Roman" w:cs="Times New Roman"/>
          <w:sz w:val="24"/>
          <w:szCs w:val="24"/>
        </w:rPr>
        <w:t xml:space="preserve"> The status of individuals the Obama administration sought to kill as subjects before the law and those who were ‘accidentally’ killed as victims</w:t>
      </w:r>
      <w:r w:rsidR="00357430" w:rsidRPr="00426ABE">
        <w:rPr>
          <w:rFonts w:ascii="Times New Roman" w:hAnsi="Times New Roman" w:cs="Times New Roman"/>
          <w:sz w:val="24"/>
          <w:szCs w:val="24"/>
        </w:rPr>
        <w:t xml:space="preserve"> </w:t>
      </w:r>
      <w:r w:rsidR="00671DEE" w:rsidRPr="00426ABE">
        <w:rPr>
          <w:rFonts w:ascii="Times New Roman" w:hAnsi="Times New Roman" w:cs="Times New Roman"/>
          <w:sz w:val="24"/>
          <w:szCs w:val="24"/>
        </w:rPr>
        <w:t>is dismissed through the process of dehumanization and objectification.</w:t>
      </w:r>
      <w:r w:rsidR="001978B5" w:rsidRPr="00426ABE">
        <w:rPr>
          <w:rFonts w:ascii="Times New Roman" w:hAnsi="Times New Roman" w:cs="Times New Roman"/>
          <w:sz w:val="24"/>
          <w:szCs w:val="24"/>
        </w:rPr>
        <w:t xml:space="preserve"> Indeed, systematic dehumanization was essential to the project of making legal Obama’s killing program. </w:t>
      </w:r>
      <w:r w:rsidR="005B096C" w:rsidRPr="00426ABE">
        <w:rPr>
          <w:rFonts w:ascii="Times New Roman" w:hAnsi="Times New Roman" w:cs="Times New Roman"/>
          <w:sz w:val="24"/>
          <w:szCs w:val="24"/>
        </w:rPr>
        <w:t xml:space="preserve">As will be discussed </w:t>
      </w:r>
      <w:r w:rsidR="00565992" w:rsidRPr="00426ABE">
        <w:rPr>
          <w:rFonts w:ascii="Times New Roman" w:hAnsi="Times New Roman" w:cs="Times New Roman"/>
          <w:sz w:val="24"/>
          <w:szCs w:val="24"/>
        </w:rPr>
        <w:t xml:space="preserve">later </w:t>
      </w:r>
      <w:r w:rsidR="005B096C" w:rsidRPr="00426ABE">
        <w:rPr>
          <w:rFonts w:ascii="Times New Roman" w:hAnsi="Times New Roman" w:cs="Times New Roman"/>
          <w:sz w:val="24"/>
          <w:szCs w:val="24"/>
        </w:rPr>
        <w:t xml:space="preserve">in the next section, </w:t>
      </w:r>
      <w:r w:rsidR="00565992" w:rsidRPr="00426ABE">
        <w:rPr>
          <w:rFonts w:ascii="Times New Roman" w:hAnsi="Times New Roman" w:cs="Times New Roman"/>
          <w:sz w:val="24"/>
          <w:szCs w:val="24"/>
        </w:rPr>
        <w:t xml:space="preserve">use of the term target by the Obama administration to describe those they identified as ‘terrorist suspects’ and ‘suspected terrorists’ not only dehumanized the victims, but also portrayed them as guilty of wrongdoing, something that was key to the legal justification of killing. </w:t>
      </w:r>
    </w:p>
    <w:p w14:paraId="3B1DF3CE" w14:textId="071F0872" w:rsidR="001978B5" w:rsidRDefault="001978B5" w:rsidP="00671DEE">
      <w:pPr>
        <w:spacing w:after="0" w:line="480" w:lineRule="auto"/>
        <w:rPr>
          <w:rFonts w:ascii="Times New Roman" w:hAnsi="Times New Roman" w:cs="Times New Roman"/>
          <w:b/>
          <w:sz w:val="24"/>
          <w:szCs w:val="24"/>
        </w:rPr>
      </w:pPr>
    </w:p>
    <w:p w14:paraId="592F69EA" w14:textId="77777777" w:rsidR="001978B5" w:rsidRPr="001A4DF7" w:rsidRDefault="001978B5" w:rsidP="001978B5">
      <w:pPr>
        <w:spacing w:after="0" w:line="480" w:lineRule="auto"/>
        <w:rPr>
          <w:rFonts w:ascii="Times New Roman" w:hAnsi="Times New Roman" w:cs="Times New Roman"/>
          <w:b/>
          <w:sz w:val="24"/>
          <w:szCs w:val="24"/>
        </w:rPr>
      </w:pPr>
      <w:r w:rsidRPr="001A4DF7">
        <w:rPr>
          <w:rFonts w:ascii="Times New Roman" w:hAnsi="Times New Roman" w:cs="Times New Roman"/>
          <w:b/>
          <w:sz w:val="24"/>
          <w:szCs w:val="24"/>
        </w:rPr>
        <w:t xml:space="preserve">Analysis: </w:t>
      </w:r>
      <w:r>
        <w:rPr>
          <w:rFonts w:ascii="Times New Roman" w:hAnsi="Times New Roman" w:cs="Times New Roman"/>
          <w:b/>
          <w:sz w:val="24"/>
          <w:szCs w:val="24"/>
        </w:rPr>
        <w:t>s</w:t>
      </w:r>
      <w:r w:rsidRPr="001A4DF7">
        <w:rPr>
          <w:rFonts w:ascii="Times New Roman" w:hAnsi="Times New Roman" w:cs="Times New Roman"/>
          <w:b/>
          <w:sz w:val="24"/>
          <w:szCs w:val="24"/>
        </w:rPr>
        <w:t xml:space="preserve">ituating </w:t>
      </w:r>
      <w:r>
        <w:rPr>
          <w:rFonts w:ascii="Times New Roman" w:hAnsi="Times New Roman" w:cs="Times New Roman"/>
          <w:b/>
          <w:sz w:val="24"/>
          <w:szCs w:val="24"/>
        </w:rPr>
        <w:t>n</w:t>
      </w:r>
      <w:r w:rsidRPr="001A4DF7">
        <w:rPr>
          <w:rFonts w:ascii="Times New Roman" w:hAnsi="Times New Roman" w:cs="Times New Roman"/>
          <w:b/>
          <w:sz w:val="24"/>
          <w:szCs w:val="24"/>
        </w:rPr>
        <w:t xml:space="preserve">ew </w:t>
      </w:r>
      <w:r>
        <w:rPr>
          <w:rFonts w:ascii="Times New Roman" w:hAnsi="Times New Roman" w:cs="Times New Roman"/>
          <w:b/>
          <w:sz w:val="24"/>
          <w:szCs w:val="24"/>
        </w:rPr>
        <w:t>p</w:t>
      </w:r>
      <w:r w:rsidRPr="001A4DF7">
        <w:rPr>
          <w:rFonts w:ascii="Times New Roman" w:hAnsi="Times New Roman" w:cs="Times New Roman"/>
          <w:b/>
          <w:sz w:val="24"/>
          <w:szCs w:val="24"/>
        </w:rPr>
        <w:t xml:space="preserve">ractice in </w:t>
      </w:r>
      <w:r>
        <w:rPr>
          <w:rFonts w:ascii="Times New Roman" w:hAnsi="Times New Roman" w:cs="Times New Roman"/>
          <w:b/>
          <w:sz w:val="24"/>
          <w:szCs w:val="24"/>
        </w:rPr>
        <w:t>o</w:t>
      </w:r>
      <w:r w:rsidRPr="001A4DF7">
        <w:rPr>
          <w:rFonts w:ascii="Times New Roman" w:hAnsi="Times New Roman" w:cs="Times New Roman"/>
          <w:b/>
          <w:sz w:val="24"/>
          <w:szCs w:val="24"/>
        </w:rPr>
        <w:t xml:space="preserve">ld </w:t>
      </w:r>
      <w:r>
        <w:rPr>
          <w:rFonts w:ascii="Times New Roman" w:hAnsi="Times New Roman" w:cs="Times New Roman"/>
          <w:b/>
          <w:sz w:val="24"/>
          <w:szCs w:val="24"/>
        </w:rPr>
        <w:t>l</w:t>
      </w:r>
      <w:r w:rsidRPr="001A4DF7">
        <w:rPr>
          <w:rFonts w:ascii="Times New Roman" w:hAnsi="Times New Roman" w:cs="Times New Roman"/>
          <w:b/>
          <w:sz w:val="24"/>
          <w:szCs w:val="24"/>
        </w:rPr>
        <w:t>aw</w:t>
      </w:r>
    </w:p>
    <w:p w14:paraId="0AFF09B5" w14:textId="04FD7C9A" w:rsidR="001978B5" w:rsidRPr="001A4DF7" w:rsidRDefault="001978B5" w:rsidP="001978B5">
      <w:pPr>
        <w:autoSpaceDE w:val="0"/>
        <w:autoSpaceDN w:val="0"/>
        <w:adjustRightInd w:val="0"/>
        <w:spacing w:after="0" w:line="480" w:lineRule="auto"/>
        <w:rPr>
          <w:rFonts w:ascii="Times New Roman" w:hAnsi="Times New Roman" w:cs="Times New Roman"/>
          <w:sz w:val="24"/>
          <w:szCs w:val="24"/>
        </w:rPr>
      </w:pPr>
      <w:r w:rsidRPr="00426ABE">
        <w:rPr>
          <w:rFonts w:ascii="Times New Roman" w:hAnsi="Times New Roman" w:cs="Times New Roman"/>
          <w:sz w:val="24"/>
          <w:szCs w:val="24"/>
        </w:rPr>
        <w:t>As important as its use of innovative techniques of dehumanization was, the Obama</w:t>
      </w:r>
      <w:r w:rsidRPr="001A4DF7">
        <w:rPr>
          <w:rFonts w:ascii="Times New Roman" w:hAnsi="Times New Roman" w:cs="Times New Roman"/>
          <w:sz w:val="24"/>
          <w:szCs w:val="24"/>
        </w:rPr>
        <w:t xml:space="preserve"> administration’s legal case for the use of drones centered, above all else, on the existence of a state of war, in which the law of armed conflict applied. The argument that the US remained bound by the laws of armed conflict – by the rules of war, rather than the rule of law – drew directly upon the discursive foundations of the war on terror established by Bush. In turn, this argument hinged on the existence of a state of war, as well as its subsequent temporality (its ongoing nature)</w:t>
      </w:r>
      <w:r w:rsidRPr="001A4DF7">
        <w:rPr>
          <w:rStyle w:val="EndnoteReference"/>
          <w:rFonts w:ascii="Times New Roman" w:hAnsi="Times New Roman" w:cs="Times New Roman"/>
          <w:sz w:val="24"/>
          <w:szCs w:val="24"/>
        </w:rPr>
        <w:endnoteReference w:id="77"/>
      </w:r>
      <w:r w:rsidRPr="001A4DF7">
        <w:rPr>
          <w:rFonts w:ascii="Times New Roman" w:hAnsi="Times New Roman" w:cs="Times New Roman"/>
          <w:sz w:val="24"/>
          <w:szCs w:val="24"/>
        </w:rPr>
        <w:t xml:space="preserve"> and spatiality (its extensive, enemy-driven location and potential globality).</w:t>
      </w:r>
      <w:r w:rsidRPr="001A4DF7">
        <w:rPr>
          <w:rStyle w:val="EndnoteReference"/>
          <w:rFonts w:ascii="Times New Roman" w:hAnsi="Times New Roman" w:cs="Times New Roman"/>
          <w:sz w:val="24"/>
          <w:szCs w:val="24"/>
        </w:rPr>
        <w:endnoteReference w:id="78"/>
      </w:r>
      <w:r w:rsidRPr="001A4DF7">
        <w:rPr>
          <w:rFonts w:ascii="Times New Roman" w:hAnsi="Times New Roman" w:cs="Times New Roman"/>
          <w:sz w:val="24"/>
          <w:szCs w:val="24"/>
        </w:rPr>
        <w:t xml:space="preserve"> </w:t>
      </w:r>
      <w:r w:rsidRPr="001A4DF7">
        <w:rPr>
          <w:rFonts w:ascii="Times New Roman" w:hAnsi="Times New Roman" w:cs="Times New Roman"/>
          <w:sz w:val="24"/>
          <w:szCs w:val="24"/>
        </w:rPr>
        <w:lastRenderedPageBreak/>
        <w:t>These discursive prongs, established by the previous government, helped the Obama administration to make the legal case for the use of drones.</w:t>
      </w:r>
    </w:p>
    <w:p w14:paraId="7524141B" w14:textId="77777777" w:rsidR="001978B5" w:rsidRPr="001A4DF7" w:rsidRDefault="001978B5" w:rsidP="001978B5">
      <w:pPr>
        <w:autoSpaceDE w:val="0"/>
        <w:autoSpaceDN w:val="0"/>
        <w:adjustRightInd w:val="0"/>
        <w:spacing w:after="0" w:line="480" w:lineRule="auto"/>
        <w:ind w:firstLine="720"/>
        <w:rPr>
          <w:rFonts w:ascii="Times New Roman" w:hAnsi="Times New Roman" w:cs="Times New Roman"/>
          <w:b/>
          <w:i/>
          <w:sz w:val="24"/>
          <w:szCs w:val="24"/>
        </w:rPr>
      </w:pPr>
      <w:r w:rsidRPr="001A4DF7">
        <w:rPr>
          <w:rFonts w:ascii="Times New Roman" w:hAnsi="Times New Roman" w:cs="Times New Roman"/>
          <w:sz w:val="24"/>
          <w:szCs w:val="24"/>
        </w:rPr>
        <w:t>Numerous authors pursuing a discourse analytic approach to explore the events of September 11</w:t>
      </w:r>
      <w:r w:rsidRPr="001A4DF7">
        <w:rPr>
          <w:rFonts w:ascii="Times New Roman" w:hAnsi="Times New Roman" w:cs="Times New Roman"/>
          <w:sz w:val="24"/>
          <w:szCs w:val="24"/>
          <w:vertAlign w:val="superscript"/>
        </w:rPr>
        <w:t>th</w:t>
      </w:r>
      <w:r w:rsidRPr="001A4DF7">
        <w:rPr>
          <w:rFonts w:ascii="Times New Roman" w:hAnsi="Times New Roman" w:cs="Times New Roman"/>
          <w:sz w:val="24"/>
          <w:szCs w:val="24"/>
        </w:rPr>
        <w:t>, 2001, have noted the scripting of that day as: exceptional, a moment of rupture, and an act of war.</w:t>
      </w:r>
      <w:r w:rsidRPr="001A4DF7">
        <w:rPr>
          <w:rStyle w:val="EndnoteReference"/>
          <w:rFonts w:ascii="Times New Roman" w:hAnsi="Times New Roman" w:cs="Times New Roman"/>
          <w:sz w:val="24"/>
          <w:szCs w:val="24"/>
        </w:rPr>
        <w:endnoteReference w:id="79"/>
      </w:r>
      <w:r w:rsidRPr="001A4DF7">
        <w:rPr>
          <w:rFonts w:ascii="Times New Roman" w:hAnsi="Times New Roman" w:cs="Times New Roman"/>
          <w:sz w:val="24"/>
          <w:szCs w:val="24"/>
        </w:rPr>
        <w:t xml:space="preserve"> Many, too, have noted the mutual discursive construction of a universal armed conflict: global in nature, targeted at freedom-loving nations everywhere, and likely to last a generation.</w:t>
      </w:r>
      <w:r w:rsidRPr="001A4DF7">
        <w:rPr>
          <w:rStyle w:val="EndnoteReference"/>
          <w:rFonts w:ascii="Times New Roman" w:hAnsi="Times New Roman" w:cs="Times New Roman"/>
          <w:sz w:val="24"/>
          <w:szCs w:val="24"/>
        </w:rPr>
        <w:endnoteReference w:id="80"/>
      </w:r>
      <w:r w:rsidRPr="001A4DF7">
        <w:rPr>
          <w:rFonts w:ascii="Times New Roman" w:hAnsi="Times New Roman" w:cs="Times New Roman"/>
          <w:sz w:val="24"/>
          <w:szCs w:val="24"/>
        </w:rPr>
        <w:t xml:space="preserve"> The war, these analyses have shown, was written as being unforeseen and driven by the hatred and fanaticism of a new and determined enemy, posing an omnipresent threat to western lives. Our own analysis confirms these framings of the day. In turn, we find that the events of September 11</w:t>
      </w:r>
      <w:r w:rsidRPr="001A4DF7">
        <w:rPr>
          <w:rFonts w:ascii="Times New Roman" w:hAnsi="Times New Roman" w:cs="Times New Roman"/>
          <w:sz w:val="24"/>
          <w:szCs w:val="24"/>
          <w:vertAlign w:val="superscript"/>
        </w:rPr>
        <w:t>th</w:t>
      </w:r>
      <w:r w:rsidRPr="001A4DF7">
        <w:rPr>
          <w:rFonts w:ascii="Times New Roman" w:hAnsi="Times New Roman" w:cs="Times New Roman"/>
          <w:sz w:val="24"/>
          <w:szCs w:val="24"/>
        </w:rPr>
        <w:t>, 2001, were framed explicitly as: an act of war; a potentially generational conflict; and a global military battle, all of which are significant and consequential for the means permissible within the US foreign policy toolkit, as well as the legal case for their choosing.</w:t>
      </w:r>
    </w:p>
    <w:p w14:paraId="04244839" w14:textId="77777777" w:rsidR="001978B5" w:rsidRPr="001A4DF7" w:rsidRDefault="001978B5" w:rsidP="001978B5">
      <w:pPr>
        <w:autoSpaceDE w:val="0"/>
        <w:autoSpaceDN w:val="0"/>
        <w:adjustRightInd w:val="0"/>
        <w:spacing w:after="0" w:line="480" w:lineRule="auto"/>
        <w:ind w:firstLine="720"/>
        <w:rPr>
          <w:rFonts w:ascii="Times New Roman" w:hAnsi="Times New Roman" w:cs="Times New Roman"/>
          <w:b/>
          <w:i/>
          <w:sz w:val="24"/>
          <w:szCs w:val="24"/>
        </w:rPr>
      </w:pPr>
      <w:r w:rsidRPr="001A4DF7">
        <w:rPr>
          <w:rFonts w:ascii="Times New Roman" w:hAnsi="Times New Roman" w:cs="Times New Roman"/>
          <w:sz w:val="24"/>
          <w:szCs w:val="24"/>
        </w:rPr>
        <w:t>These framings were both consequential and resonant, for Bush and Obama alike. Jackson describes the Bush administration’s redefining of “acts of terrorism, symbolic violence and political murder by non-state actors, to acts of ‘war’” as “probably the most important discursive move of all.”</w:t>
      </w:r>
      <w:r w:rsidRPr="001A4DF7">
        <w:rPr>
          <w:rStyle w:val="EndnoteReference"/>
          <w:rFonts w:ascii="Times New Roman" w:hAnsi="Times New Roman" w:cs="Times New Roman"/>
          <w:sz w:val="24"/>
          <w:szCs w:val="24"/>
        </w:rPr>
        <w:endnoteReference w:id="81"/>
      </w:r>
      <w:r w:rsidRPr="001A4DF7">
        <w:rPr>
          <w:rFonts w:ascii="Times New Roman" w:hAnsi="Times New Roman" w:cs="Times New Roman"/>
          <w:sz w:val="24"/>
          <w:szCs w:val="24"/>
        </w:rPr>
        <w:t xml:space="preserve"> It was a discursive move that helped to give references to 9/11 a special and unique power, justifying a perpetual right to use force in </w:t>
      </w:r>
      <w:proofErr w:type="spellStart"/>
      <w:r w:rsidRPr="001A4DF7">
        <w:rPr>
          <w:rFonts w:ascii="Times New Roman" w:hAnsi="Times New Roman" w:cs="Times New Roman"/>
          <w:sz w:val="24"/>
          <w:szCs w:val="24"/>
        </w:rPr>
        <w:t>self-defence</w:t>
      </w:r>
      <w:proofErr w:type="spellEnd"/>
      <w:r w:rsidRPr="001A4DF7">
        <w:rPr>
          <w:rFonts w:ascii="Times New Roman" w:hAnsi="Times New Roman" w:cs="Times New Roman"/>
          <w:sz w:val="24"/>
          <w:szCs w:val="24"/>
        </w:rPr>
        <w:t xml:space="preserve">. In contrast to initial descriptions of the 9/11 attacks as “acts of terror” that involved “mass murder,” the narration of 9/11 as an act of war placed far fewer limits on what was permitted in response. It was a framing that enabled the Bush administration’s initial militaristic response and, in asserting the existence of an ongoing armed conflict, the Obama administration repeatedly adopted the core elements of a war narrative, rejecting the constraints a law enforcement paradigm might </w:t>
      </w:r>
      <w:r w:rsidRPr="001A4DF7">
        <w:rPr>
          <w:rFonts w:ascii="Times New Roman" w:hAnsi="Times New Roman" w:cs="Times New Roman"/>
          <w:sz w:val="24"/>
          <w:szCs w:val="24"/>
        </w:rPr>
        <w:lastRenderedPageBreak/>
        <w:t>have entailed. In this sense, the (re)construction of 9/11 as an act of war contributed significantly to the legal rationale for an ongoing military response regulated by the law of armed conflict, helping to enable the use of lethal force in ways that could not be justified under the rule of law except in the presence of exceptional circumstances.</w:t>
      </w:r>
      <w:r w:rsidRPr="001A4DF7">
        <w:rPr>
          <w:rStyle w:val="EndnoteReference"/>
          <w:rFonts w:ascii="Times New Roman" w:hAnsi="Times New Roman" w:cs="Times New Roman"/>
          <w:sz w:val="24"/>
          <w:szCs w:val="24"/>
        </w:rPr>
        <w:endnoteReference w:id="82"/>
      </w:r>
    </w:p>
    <w:p w14:paraId="7EF36248" w14:textId="77777777" w:rsidR="001978B5" w:rsidRPr="001A4DF7" w:rsidRDefault="001978B5" w:rsidP="001978B5">
      <w:pPr>
        <w:autoSpaceDE w:val="0"/>
        <w:autoSpaceDN w:val="0"/>
        <w:adjustRightInd w:val="0"/>
        <w:spacing w:after="0" w:line="480" w:lineRule="auto"/>
        <w:ind w:firstLine="720"/>
        <w:rPr>
          <w:rFonts w:ascii="Times New Roman" w:hAnsi="Times New Roman" w:cs="Times New Roman"/>
          <w:b/>
          <w:i/>
          <w:sz w:val="24"/>
          <w:szCs w:val="24"/>
        </w:rPr>
      </w:pPr>
      <w:r w:rsidRPr="001A4DF7">
        <w:rPr>
          <w:rFonts w:ascii="Times New Roman" w:hAnsi="Times New Roman" w:cs="Times New Roman"/>
          <w:sz w:val="24"/>
          <w:szCs w:val="24"/>
        </w:rPr>
        <w:t xml:space="preserve">Beginning with Koh’s speech in 2010, the Obama administration repeatedly asserted that the US is engaged in an armed conflict as a means to justify its killing program. Koh states that “as a matter of international law, the United States is in an armed conflict with al-Qaeda, as well as the Taliban and associated forces, in response to the horrific 9/11 attacks, and may use force consistent with its inherent right to </w:t>
      </w:r>
      <w:proofErr w:type="spellStart"/>
      <w:r w:rsidRPr="001A4DF7">
        <w:rPr>
          <w:rFonts w:ascii="Times New Roman" w:hAnsi="Times New Roman" w:cs="Times New Roman"/>
          <w:sz w:val="24"/>
          <w:szCs w:val="24"/>
        </w:rPr>
        <w:t>self-defence</w:t>
      </w:r>
      <w:proofErr w:type="spellEnd"/>
      <w:r w:rsidRPr="001A4DF7">
        <w:rPr>
          <w:rFonts w:ascii="Times New Roman" w:hAnsi="Times New Roman" w:cs="Times New Roman"/>
          <w:sz w:val="24"/>
          <w:szCs w:val="24"/>
        </w:rPr>
        <w:t xml:space="preserve"> under international law.”</w:t>
      </w:r>
      <w:r w:rsidRPr="001A4DF7">
        <w:rPr>
          <w:rStyle w:val="EndnoteReference"/>
          <w:rFonts w:ascii="Times New Roman" w:hAnsi="Times New Roman" w:cs="Times New Roman"/>
          <w:sz w:val="24"/>
          <w:szCs w:val="24"/>
        </w:rPr>
        <w:endnoteReference w:id="83"/>
      </w:r>
      <w:r w:rsidRPr="001A4DF7">
        <w:rPr>
          <w:rFonts w:ascii="Times New Roman" w:hAnsi="Times New Roman" w:cs="Times New Roman"/>
          <w:sz w:val="24"/>
          <w:szCs w:val="24"/>
        </w:rPr>
        <w:t xml:space="preserve"> Brennan confirmed, “Our ongoing armed conflict with al-</w:t>
      </w:r>
      <w:proofErr w:type="spellStart"/>
      <w:r w:rsidRPr="001A4DF7">
        <w:rPr>
          <w:rFonts w:ascii="Times New Roman" w:hAnsi="Times New Roman" w:cs="Times New Roman"/>
          <w:sz w:val="24"/>
          <w:szCs w:val="24"/>
        </w:rPr>
        <w:t>Qa'ida</w:t>
      </w:r>
      <w:proofErr w:type="spellEnd"/>
      <w:r w:rsidRPr="001A4DF7">
        <w:rPr>
          <w:rFonts w:ascii="Times New Roman" w:hAnsi="Times New Roman" w:cs="Times New Roman"/>
          <w:sz w:val="24"/>
          <w:szCs w:val="24"/>
        </w:rPr>
        <w:t xml:space="preserve"> stems from our right—recognized under international law—to </w:t>
      </w:r>
      <w:proofErr w:type="spellStart"/>
      <w:r w:rsidRPr="001A4DF7">
        <w:rPr>
          <w:rFonts w:ascii="Times New Roman" w:hAnsi="Times New Roman" w:cs="Times New Roman"/>
          <w:sz w:val="24"/>
          <w:szCs w:val="24"/>
        </w:rPr>
        <w:t>self-defence</w:t>
      </w:r>
      <w:proofErr w:type="spellEnd"/>
      <w:r w:rsidRPr="001A4DF7">
        <w:rPr>
          <w:rFonts w:ascii="Times New Roman" w:hAnsi="Times New Roman" w:cs="Times New Roman"/>
          <w:sz w:val="24"/>
          <w:szCs w:val="24"/>
        </w:rPr>
        <w:t>.”</w:t>
      </w:r>
      <w:r w:rsidRPr="001A4DF7">
        <w:rPr>
          <w:rStyle w:val="EndnoteReference"/>
          <w:rFonts w:ascii="Times New Roman" w:hAnsi="Times New Roman" w:cs="Times New Roman"/>
          <w:sz w:val="24"/>
          <w:szCs w:val="24"/>
        </w:rPr>
        <w:endnoteReference w:id="84"/>
      </w:r>
      <w:r w:rsidRPr="001A4DF7">
        <w:rPr>
          <w:rFonts w:ascii="Times New Roman" w:hAnsi="Times New Roman" w:cs="Times New Roman"/>
          <w:sz w:val="24"/>
          <w:szCs w:val="24"/>
        </w:rPr>
        <w:t xml:space="preserve"> Therefore, the Obama administration reinforced Bush-era framings: not only did the 9/11 attacks initiate an armed conflict between al-Qaeda and the US, but, moreover, continued efforts to attack the US makes the armed conflict an ongoing one. </w:t>
      </w:r>
    </w:p>
    <w:p w14:paraId="5A0E7178" w14:textId="77777777" w:rsidR="001978B5" w:rsidRPr="001A4DF7" w:rsidRDefault="001978B5" w:rsidP="001978B5">
      <w:pPr>
        <w:autoSpaceDE w:val="0"/>
        <w:autoSpaceDN w:val="0"/>
        <w:adjustRightInd w:val="0"/>
        <w:spacing w:after="0" w:line="480" w:lineRule="auto"/>
        <w:ind w:firstLine="720"/>
        <w:rPr>
          <w:rFonts w:ascii="Times New Roman" w:hAnsi="Times New Roman" w:cs="Times New Roman"/>
          <w:b/>
          <w:i/>
          <w:sz w:val="24"/>
          <w:szCs w:val="24"/>
        </w:rPr>
      </w:pPr>
      <w:r w:rsidRPr="001A4DF7">
        <w:rPr>
          <w:rFonts w:ascii="Times New Roman" w:hAnsi="Times New Roman" w:cs="Times New Roman"/>
          <w:sz w:val="24"/>
          <w:szCs w:val="24"/>
        </w:rPr>
        <w:t>In the same vein as their predecessor, the Obama administration’s continued use of military force, situated in claims of the existence of an ongoing armed conflict, required a “ubiquitous narrative of threat and danger.”</w:t>
      </w:r>
      <w:r w:rsidRPr="001A4DF7">
        <w:rPr>
          <w:rStyle w:val="EndnoteReference"/>
          <w:rFonts w:ascii="Times New Roman" w:hAnsi="Times New Roman" w:cs="Times New Roman"/>
          <w:sz w:val="24"/>
          <w:szCs w:val="24"/>
        </w:rPr>
        <w:endnoteReference w:id="85"/>
      </w:r>
      <w:r w:rsidRPr="001A4DF7">
        <w:rPr>
          <w:rFonts w:ascii="Times New Roman" w:hAnsi="Times New Roman" w:cs="Times New Roman"/>
          <w:sz w:val="24"/>
          <w:szCs w:val="24"/>
        </w:rPr>
        <w:t xml:space="preserve"> Within this frame, the threat of terrorist violence was pitched as perpetual, dramatic, and without precedent. Elevating the threat of terrorism to such heights makes, by implication, any measure the government prescribes as necessary appear prudent and necessary. This framing provided the Obama administration the requisite space to reject the application of the “loaded,” “repugnant,” and “pejorative term ‘assassination’” to its killing program.</w:t>
      </w:r>
      <w:r w:rsidRPr="001A4DF7">
        <w:rPr>
          <w:rStyle w:val="EndnoteReference"/>
          <w:rFonts w:ascii="Times New Roman" w:hAnsi="Times New Roman" w:cs="Times New Roman"/>
          <w:sz w:val="24"/>
          <w:szCs w:val="24"/>
        </w:rPr>
        <w:endnoteReference w:id="86"/>
      </w:r>
      <w:r w:rsidRPr="001A4DF7">
        <w:rPr>
          <w:rFonts w:ascii="Times New Roman" w:hAnsi="Times New Roman" w:cs="Times New Roman"/>
          <w:sz w:val="24"/>
          <w:szCs w:val="24"/>
        </w:rPr>
        <w:t xml:space="preserve"> Within and supported by this resonant and enduring discourse, officials could feasibly argue that “the use of lawful weapons systems” in “</w:t>
      </w:r>
      <w:proofErr w:type="spellStart"/>
      <w:r w:rsidRPr="001A4DF7">
        <w:rPr>
          <w:rFonts w:ascii="Times New Roman" w:hAnsi="Times New Roman" w:cs="Times New Roman"/>
          <w:sz w:val="24"/>
          <w:szCs w:val="24"/>
        </w:rPr>
        <w:t>self-defence</w:t>
      </w:r>
      <w:proofErr w:type="spellEnd"/>
      <w:r w:rsidRPr="001A4DF7">
        <w:rPr>
          <w:rFonts w:ascii="Times New Roman" w:hAnsi="Times New Roman" w:cs="Times New Roman"/>
          <w:sz w:val="24"/>
          <w:szCs w:val="24"/>
        </w:rPr>
        <w:t xml:space="preserve"> against a leader of al </w:t>
      </w:r>
      <w:r w:rsidRPr="001A4DF7">
        <w:rPr>
          <w:rFonts w:ascii="Times New Roman" w:hAnsi="Times New Roman" w:cs="Times New Roman"/>
          <w:sz w:val="24"/>
          <w:szCs w:val="24"/>
        </w:rPr>
        <w:lastRenderedPageBreak/>
        <w:t>Qaeda or an associated force” is “consistent with the laws of war and does not, by definition, constitute an ‘assassination’.”</w:t>
      </w:r>
      <w:r w:rsidRPr="001A4DF7">
        <w:rPr>
          <w:rStyle w:val="EndnoteReference"/>
          <w:rFonts w:ascii="Times New Roman" w:hAnsi="Times New Roman" w:cs="Times New Roman"/>
          <w:sz w:val="24"/>
          <w:szCs w:val="24"/>
        </w:rPr>
        <w:endnoteReference w:id="87"/>
      </w:r>
    </w:p>
    <w:p w14:paraId="7723F89C" w14:textId="77777777" w:rsidR="001978B5" w:rsidRPr="001A4DF7" w:rsidRDefault="001978B5" w:rsidP="001978B5">
      <w:pPr>
        <w:autoSpaceDE w:val="0"/>
        <w:autoSpaceDN w:val="0"/>
        <w:adjustRightInd w:val="0"/>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t>Because the Obama administration’s killing program has been implemented in numerous geographic spaces, within which traditional conceptions of what constitutes a “battlefield” would not apply, administration officials also sought to justify why the armed conflict extends to these territories. Central to the Obama administration’s argument was that the location of an armed conflict is not determined by where the battlefield is; the location of the battlefield and, therefore, the armed conflict, is determined by where the participants in the armed conflict are located. The US does not view its “authority to use military force against al-</w:t>
      </w:r>
      <w:proofErr w:type="spellStart"/>
      <w:r w:rsidRPr="001A4DF7">
        <w:rPr>
          <w:rFonts w:ascii="Times New Roman" w:hAnsi="Times New Roman" w:cs="Times New Roman"/>
          <w:sz w:val="24"/>
          <w:szCs w:val="24"/>
        </w:rPr>
        <w:t>Qa'ida</w:t>
      </w:r>
      <w:proofErr w:type="spellEnd"/>
      <w:r w:rsidRPr="001A4DF7">
        <w:rPr>
          <w:rFonts w:ascii="Times New Roman" w:hAnsi="Times New Roman" w:cs="Times New Roman"/>
          <w:sz w:val="24"/>
          <w:szCs w:val="24"/>
        </w:rPr>
        <w:t xml:space="preserve"> as being restricted solely to “hot” battlefields like Afghanistan.”</w:t>
      </w:r>
      <w:r w:rsidRPr="001A4DF7">
        <w:rPr>
          <w:rStyle w:val="EndnoteReference"/>
          <w:rFonts w:ascii="Times New Roman" w:hAnsi="Times New Roman" w:cs="Times New Roman"/>
          <w:sz w:val="24"/>
          <w:szCs w:val="24"/>
        </w:rPr>
        <w:endnoteReference w:id="88"/>
      </w:r>
      <w:r w:rsidRPr="001A4DF7">
        <w:rPr>
          <w:rFonts w:ascii="Times New Roman" w:hAnsi="Times New Roman" w:cs="Times New Roman"/>
          <w:sz w:val="24"/>
          <w:szCs w:val="24"/>
        </w:rPr>
        <w:t xml:space="preserve"> According to Holder “We are at war with a stateless enemy, prone to shifting operations from country to country. Over the last three years alone, al Qaeda and its associates have directed several attacks – fortunately, unsuccessful – against us from countries other than Afghanistan.”</w:t>
      </w:r>
      <w:r w:rsidRPr="001A4DF7">
        <w:rPr>
          <w:rStyle w:val="EndnoteReference"/>
          <w:rFonts w:ascii="Times New Roman" w:hAnsi="Times New Roman" w:cs="Times New Roman"/>
          <w:sz w:val="24"/>
          <w:szCs w:val="24"/>
        </w:rPr>
        <w:endnoteReference w:id="89"/>
      </w:r>
      <w:r w:rsidRPr="001A4DF7">
        <w:rPr>
          <w:rFonts w:ascii="Times New Roman" w:hAnsi="Times New Roman" w:cs="Times New Roman"/>
          <w:sz w:val="24"/>
          <w:szCs w:val="24"/>
        </w:rPr>
        <w:t xml:space="preserve"> The killing program, therefore, may be implemented “without a geographic limitation.”</w:t>
      </w:r>
      <w:r w:rsidRPr="001A4DF7">
        <w:rPr>
          <w:rStyle w:val="EndnoteReference"/>
          <w:rFonts w:ascii="Times New Roman" w:hAnsi="Times New Roman" w:cs="Times New Roman"/>
          <w:sz w:val="24"/>
          <w:szCs w:val="24"/>
        </w:rPr>
        <w:endnoteReference w:id="90"/>
      </w:r>
    </w:p>
    <w:p w14:paraId="3A0567B7" w14:textId="77777777" w:rsidR="001978B5" w:rsidRPr="001A4DF7" w:rsidRDefault="001978B5" w:rsidP="001978B5">
      <w:pPr>
        <w:autoSpaceDE w:val="0"/>
        <w:autoSpaceDN w:val="0"/>
        <w:adjustRightInd w:val="0"/>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t>The Obama administration’s attempt to situate its killing policy in the settled law of armed conflict faces two significant hurdles. First, historically, acts of terrorism have been treated as criminal phenomena rather than acts of war. Thus, in drawing directly upon the discursive foundations of the war on terror established by Bush, Obama’s assertion that it is engaged in an armed conﬂict contradicts both international law and historical precedent. It is worth repeating Alston’s assessment here: in the “legitimate struggle against terrorism, too many criminal acts have been re-characterized so as to justify addressing them within the framework of the law of armed conflict.”</w:t>
      </w:r>
      <w:r w:rsidRPr="001A4DF7">
        <w:rPr>
          <w:rStyle w:val="EndnoteReference"/>
          <w:rFonts w:ascii="Times New Roman" w:hAnsi="Times New Roman" w:cs="Times New Roman"/>
          <w:sz w:val="24"/>
          <w:szCs w:val="24"/>
        </w:rPr>
        <w:endnoteReference w:id="91"/>
      </w:r>
      <w:r w:rsidRPr="001A4DF7">
        <w:rPr>
          <w:rFonts w:ascii="Times New Roman" w:hAnsi="Times New Roman" w:cs="Times New Roman"/>
          <w:sz w:val="24"/>
          <w:szCs w:val="24"/>
        </w:rPr>
        <w:t xml:space="preserve"> Second, the claim to the existence of an armed conflict “without a geographic limitation” also fails to withstand scrutiny. As O’Connell made clear in her expert </w:t>
      </w:r>
      <w:r w:rsidRPr="001A4DF7">
        <w:rPr>
          <w:rFonts w:ascii="Times New Roman" w:hAnsi="Times New Roman" w:cs="Times New Roman"/>
          <w:sz w:val="24"/>
          <w:szCs w:val="24"/>
        </w:rPr>
        <w:lastRenderedPageBreak/>
        <w:t>testimony before US Congress, “Drones are not lawful for use outside combat zones. Outside such zones, police are the proper law enforcement agents and police are generally required to warn before using lethal force.”</w:t>
      </w:r>
      <w:r w:rsidRPr="001A4DF7">
        <w:rPr>
          <w:rStyle w:val="EndnoteReference"/>
          <w:rFonts w:ascii="Times New Roman" w:hAnsi="Times New Roman" w:cs="Times New Roman"/>
          <w:sz w:val="24"/>
          <w:szCs w:val="24"/>
        </w:rPr>
        <w:endnoteReference w:id="92"/>
      </w:r>
      <w:r w:rsidRPr="001A4DF7">
        <w:rPr>
          <w:rFonts w:ascii="Times New Roman" w:hAnsi="Times New Roman" w:cs="Times New Roman"/>
          <w:sz w:val="24"/>
          <w:szCs w:val="24"/>
        </w:rPr>
        <w:t xml:space="preserve"> There is good reason for this. Outside active combat zones, combatants and civilians may be indistinguishable. Even when they are distinguishable, treating a civilian populated area as a warzone visits the associated risks upon the civilian population.</w:t>
      </w:r>
    </w:p>
    <w:p w14:paraId="4C93B263" w14:textId="77777777" w:rsidR="001978B5" w:rsidRDefault="001978B5" w:rsidP="00671DEE">
      <w:pPr>
        <w:spacing w:after="0" w:line="480" w:lineRule="auto"/>
        <w:rPr>
          <w:rFonts w:ascii="Times New Roman" w:hAnsi="Times New Roman" w:cs="Times New Roman"/>
          <w:b/>
          <w:sz w:val="24"/>
          <w:szCs w:val="24"/>
        </w:rPr>
      </w:pPr>
    </w:p>
    <w:p w14:paraId="65320CBA" w14:textId="77777777" w:rsidR="001978B5" w:rsidRPr="00995E08" w:rsidRDefault="001978B5" w:rsidP="001978B5">
      <w:pPr>
        <w:autoSpaceDE w:val="0"/>
        <w:autoSpaceDN w:val="0"/>
        <w:adjustRightInd w:val="0"/>
        <w:spacing w:after="0" w:line="480" w:lineRule="auto"/>
        <w:rPr>
          <w:rFonts w:ascii="Times New Roman" w:hAnsi="Times New Roman" w:cs="Times New Roman"/>
          <w:b/>
          <w:i/>
          <w:sz w:val="24"/>
          <w:szCs w:val="24"/>
        </w:rPr>
      </w:pPr>
      <w:r w:rsidRPr="00995E08">
        <w:rPr>
          <w:rFonts w:ascii="Times New Roman" w:hAnsi="Times New Roman" w:cs="Times New Roman"/>
          <w:b/>
          <w:i/>
          <w:sz w:val="24"/>
          <w:szCs w:val="24"/>
        </w:rPr>
        <w:t>Killing ‘</w:t>
      </w:r>
      <w:r>
        <w:rPr>
          <w:rFonts w:ascii="Times New Roman" w:hAnsi="Times New Roman" w:cs="Times New Roman"/>
          <w:b/>
          <w:i/>
          <w:sz w:val="24"/>
          <w:szCs w:val="24"/>
        </w:rPr>
        <w:t>s</w:t>
      </w:r>
      <w:r w:rsidRPr="00995E08">
        <w:rPr>
          <w:rFonts w:ascii="Times New Roman" w:hAnsi="Times New Roman" w:cs="Times New Roman"/>
          <w:b/>
          <w:i/>
          <w:sz w:val="24"/>
          <w:szCs w:val="24"/>
        </w:rPr>
        <w:t xml:space="preserve">uspected </w:t>
      </w:r>
      <w:r>
        <w:rPr>
          <w:rFonts w:ascii="Times New Roman" w:hAnsi="Times New Roman" w:cs="Times New Roman"/>
          <w:b/>
          <w:i/>
          <w:sz w:val="24"/>
          <w:szCs w:val="24"/>
        </w:rPr>
        <w:t>t</w:t>
      </w:r>
      <w:r w:rsidRPr="00995E08">
        <w:rPr>
          <w:rFonts w:ascii="Times New Roman" w:hAnsi="Times New Roman" w:cs="Times New Roman"/>
          <w:b/>
          <w:i/>
          <w:sz w:val="24"/>
          <w:szCs w:val="24"/>
        </w:rPr>
        <w:t>errorists’ and ‘</w:t>
      </w:r>
      <w:r>
        <w:rPr>
          <w:rFonts w:ascii="Times New Roman" w:hAnsi="Times New Roman" w:cs="Times New Roman"/>
          <w:b/>
          <w:i/>
          <w:sz w:val="24"/>
          <w:szCs w:val="24"/>
        </w:rPr>
        <w:t>t</w:t>
      </w:r>
      <w:r w:rsidRPr="00995E08">
        <w:rPr>
          <w:rFonts w:ascii="Times New Roman" w:hAnsi="Times New Roman" w:cs="Times New Roman"/>
          <w:b/>
          <w:i/>
          <w:sz w:val="24"/>
          <w:szCs w:val="24"/>
        </w:rPr>
        <w:t xml:space="preserve">errorist </w:t>
      </w:r>
      <w:r>
        <w:rPr>
          <w:rFonts w:ascii="Times New Roman" w:hAnsi="Times New Roman" w:cs="Times New Roman"/>
          <w:b/>
          <w:i/>
          <w:sz w:val="24"/>
          <w:szCs w:val="24"/>
        </w:rPr>
        <w:t>s</w:t>
      </w:r>
      <w:r w:rsidRPr="00995E08">
        <w:rPr>
          <w:rFonts w:ascii="Times New Roman" w:hAnsi="Times New Roman" w:cs="Times New Roman"/>
          <w:b/>
          <w:i/>
          <w:sz w:val="24"/>
          <w:szCs w:val="24"/>
        </w:rPr>
        <w:t>uspects’</w:t>
      </w:r>
    </w:p>
    <w:p w14:paraId="4C1F2A04" w14:textId="77777777" w:rsidR="001978B5" w:rsidRPr="001A4DF7" w:rsidRDefault="001978B5" w:rsidP="001978B5">
      <w:pPr>
        <w:autoSpaceDE w:val="0"/>
        <w:autoSpaceDN w:val="0"/>
        <w:adjustRightInd w:val="0"/>
        <w:spacing w:after="0" w:line="480" w:lineRule="auto"/>
        <w:rPr>
          <w:rFonts w:ascii="Times New Roman" w:hAnsi="Times New Roman" w:cs="Times New Roman"/>
          <w:sz w:val="24"/>
          <w:szCs w:val="24"/>
        </w:rPr>
      </w:pPr>
      <w:r w:rsidRPr="001A4DF7">
        <w:rPr>
          <w:rFonts w:ascii="Times New Roman" w:hAnsi="Times New Roman" w:cs="Times New Roman"/>
          <w:sz w:val="24"/>
          <w:szCs w:val="24"/>
        </w:rPr>
        <w:t>In what could only have been a coordinated effort, Koh, Johnson, Holder, and Brennan attempted in their speeches to make a dubious comparison of US efforts to kill Admiral Yamamoto, following the attack on Pearl Harbor, to the Obama administration’s killing program.</w:t>
      </w:r>
      <w:r w:rsidRPr="001A4DF7">
        <w:rPr>
          <w:rStyle w:val="EndnoteReference"/>
          <w:rFonts w:ascii="Times New Roman" w:hAnsi="Times New Roman" w:cs="Times New Roman"/>
          <w:sz w:val="24"/>
          <w:szCs w:val="24"/>
        </w:rPr>
        <w:endnoteReference w:id="93"/>
      </w:r>
      <w:r w:rsidRPr="001A4DF7">
        <w:rPr>
          <w:rFonts w:ascii="Times New Roman" w:hAnsi="Times New Roman" w:cs="Times New Roman"/>
          <w:sz w:val="24"/>
          <w:szCs w:val="24"/>
        </w:rPr>
        <w:t xml:space="preserve"> According to Koh, “American aviators tracked down and shot down the airplane….”</w:t>
      </w:r>
      <w:r w:rsidRPr="001A4DF7">
        <w:rPr>
          <w:rStyle w:val="EndnoteReference"/>
          <w:rFonts w:ascii="Times New Roman" w:hAnsi="Times New Roman" w:cs="Times New Roman"/>
          <w:sz w:val="24"/>
          <w:szCs w:val="24"/>
        </w:rPr>
        <w:endnoteReference w:id="94"/>
      </w:r>
      <w:r w:rsidRPr="001A4DF7">
        <w:rPr>
          <w:rFonts w:ascii="Times New Roman" w:hAnsi="Times New Roman" w:cs="Times New Roman"/>
          <w:sz w:val="24"/>
          <w:szCs w:val="24"/>
        </w:rPr>
        <w:t xml:space="preserve"> The major differences are obvious. First, the US had entered into World War II, within which the law of armed conflict applied. Second, Yamamoto was a combatant, one easily identifiable by his uniform and his presence in a Japanese military aircraft. Conversely, the victims of Obama’s killing program “do not behave like a traditional military – wearing uniforms, carrying arms openly, or massing forces in preparation for an attack.”</w:t>
      </w:r>
      <w:r w:rsidRPr="001A4DF7">
        <w:rPr>
          <w:rStyle w:val="EndnoteReference"/>
          <w:rFonts w:ascii="Times New Roman" w:hAnsi="Times New Roman" w:cs="Times New Roman"/>
          <w:sz w:val="24"/>
          <w:szCs w:val="24"/>
        </w:rPr>
        <w:endnoteReference w:id="95"/>
      </w:r>
      <w:r w:rsidRPr="001A4DF7">
        <w:rPr>
          <w:rFonts w:ascii="Times New Roman" w:hAnsi="Times New Roman" w:cs="Times New Roman"/>
          <w:sz w:val="24"/>
          <w:szCs w:val="24"/>
        </w:rPr>
        <w:t xml:space="preserve"> Individuals marked for death must, therefore, be selected based on some threshold of “evidence” that is known only to the members of the Obama administration who effectively act as judge and jury, if not the literal executioner. There is no avenue of recourse for suspects; they do not have the ability to surrender, seek a trial, or to challenge the evidence that allegedly implicates them. Suspects operate “while hiding among civilian populations.”</w:t>
      </w:r>
      <w:r w:rsidRPr="001A4DF7">
        <w:rPr>
          <w:rStyle w:val="EndnoteReference"/>
          <w:rFonts w:ascii="Times New Roman" w:hAnsi="Times New Roman" w:cs="Times New Roman"/>
          <w:sz w:val="24"/>
          <w:szCs w:val="24"/>
        </w:rPr>
        <w:endnoteReference w:id="96"/>
      </w:r>
      <w:r w:rsidRPr="001A4DF7">
        <w:rPr>
          <w:rFonts w:ascii="Times New Roman" w:hAnsi="Times New Roman" w:cs="Times New Roman"/>
          <w:sz w:val="24"/>
          <w:szCs w:val="24"/>
        </w:rPr>
        <w:t xml:space="preserve"> Executions are therefore rarely carried out in a controlled environment, with individuals found “guilty” by the Obama administration executed by drones </w:t>
      </w:r>
      <w:r w:rsidRPr="001A4DF7">
        <w:rPr>
          <w:rFonts w:ascii="Times New Roman" w:hAnsi="Times New Roman" w:cs="Times New Roman"/>
          <w:sz w:val="24"/>
          <w:szCs w:val="24"/>
        </w:rPr>
        <w:lastRenderedPageBreak/>
        <w:t>while living and moving among people not suspected of any wrongdoing, but who nonetheless also risk injury or death.</w:t>
      </w:r>
      <w:r w:rsidRPr="001A4DF7">
        <w:rPr>
          <w:rStyle w:val="EndnoteReference"/>
          <w:rFonts w:ascii="Times New Roman" w:hAnsi="Times New Roman" w:cs="Times New Roman"/>
          <w:sz w:val="24"/>
          <w:szCs w:val="24"/>
        </w:rPr>
        <w:endnoteReference w:id="97"/>
      </w:r>
      <w:r w:rsidRPr="001A4DF7">
        <w:rPr>
          <w:rFonts w:ascii="Times New Roman" w:hAnsi="Times New Roman" w:cs="Times New Roman"/>
          <w:sz w:val="24"/>
          <w:szCs w:val="24"/>
        </w:rPr>
        <w:t xml:space="preserve"> </w:t>
      </w:r>
    </w:p>
    <w:p w14:paraId="10F1CE0B" w14:textId="77777777" w:rsidR="001978B5" w:rsidRPr="001A4DF7" w:rsidRDefault="001978B5" w:rsidP="001978B5">
      <w:pPr>
        <w:autoSpaceDE w:val="0"/>
        <w:autoSpaceDN w:val="0"/>
        <w:adjustRightInd w:val="0"/>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t xml:space="preserve">At the heart of the Obama administration’s invocation of a right to kill individuals suspected of planning or having participated in political violence against the US lies a fundamental epistemological concern pertaining to the law of armed conflict: how can policy makers be certain of the military necessity of a pre-emptive drone strike? How certain are they that such action – killing a </w:t>
      </w:r>
      <w:r w:rsidRPr="001A4DF7">
        <w:rPr>
          <w:rFonts w:ascii="Times New Roman" w:hAnsi="Times New Roman" w:cs="Times New Roman"/>
          <w:i/>
          <w:sz w:val="24"/>
          <w:szCs w:val="24"/>
        </w:rPr>
        <w:t>suspect</w:t>
      </w:r>
      <w:r w:rsidRPr="001A4DF7">
        <w:rPr>
          <w:rFonts w:ascii="Times New Roman" w:hAnsi="Times New Roman" w:cs="Times New Roman"/>
          <w:sz w:val="24"/>
          <w:szCs w:val="24"/>
        </w:rPr>
        <w:t xml:space="preserve"> – is proportionate? Such dilemmas come through in the speeches of the Obama administration, in three significant and related ways, as, whilst simultaneously asserting the implementation of its killing program is consistent with the laws of armed conflict, contentious statements repeatedly undermine the credibility of these insistence. </w:t>
      </w:r>
    </w:p>
    <w:p w14:paraId="7784D4AB" w14:textId="3DDFA526" w:rsidR="000A2A0D" w:rsidRPr="001A4DF7" w:rsidRDefault="001978B5" w:rsidP="000A2A0D">
      <w:pPr>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t>First, the Obama administration repeatedly referred to the individuals they sought to kill as “terrorist suspects” and “suspected terrorists.” Most often, these labels were used by officials when challenging allegations that the administration preferred to kill individuals, rather than capture them. For example, Obama declared that, “as a matter of policy, the preference of the United States is to capture terrorist suspects.”</w:t>
      </w:r>
      <w:r w:rsidRPr="001A4DF7">
        <w:rPr>
          <w:rStyle w:val="EndnoteReference"/>
          <w:rFonts w:ascii="Times New Roman" w:hAnsi="Times New Roman" w:cs="Times New Roman"/>
          <w:sz w:val="24"/>
          <w:szCs w:val="24"/>
        </w:rPr>
        <w:endnoteReference w:id="98"/>
      </w:r>
      <w:r w:rsidRPr="001A4DF7">
        <w:rPr>
          <w:rFonts w:ascii="Times New Roman" w:hAnsi="Times New Roman" w:cs="Times New Roman"/>
          <w:sz w:val="24"/>
          <w:szCs w:val="24"/>
        </w:rPr>
        <w:t xml:space="preserve"> Similarly, Brennan dismissed such accusations, arguing, “This is absurd, and I want to take this opportunity to set the record straight. So, I want to be very clear – whenever it is possible to capture a suspected terrorist, it is the unqualified preference of the Administration to take custody of that individual…”</w:t>
      </w:r>
      <w:r w:rsidRPr="001A4DF7">
        <w:rPr>
          <w:rStyle w:val="EndnoteReference"/>
          <w:rFonts w:ascii="Times New Roman" w:hAnsi="Times New Roman" w:cs="Times New Roman"/>
          <w:sz w:val="24"/>
          <w:szCs w:val="24"/>
        </w:rPr>
        <w:endnoteReference w:id="99"/>
      </w:r>
      <w:r w:rsidRPr="001A4DF7">
        <w:rPr>
          <w:rFonts w:ascii="Times New Roman" w:hAnsi="Times New Roman" w:cs="Times New Roman"/>
          <w:sz w:val="24"/>
          <w:szCs w:val="24"/>
        </w:rPr>
        <w:t xml:space="preserve"> In presenting it as a preference, however, it is clear that the Obama administration did not believe it was </w:t>
      </w:r>
      <w:r w:rsidRPr="001A4DF7">
        <w:rPr>
          <w:rFonts w:ascii="Times New Roman" w:hAnsi="Times New Roman" w:cs="Times New Roman"/>
          <w:i/>
          <w:sz w:val="24"/>
          <w:szCs w:val="24"/>
        </w:rPr>
        <w:t>required</w:t>
      </w:r>
      <w:r w:rsidRPr="001A4DF7">
        <w:rPr>
          <w:rFonts w:ascii="Times New Roman" w:hAnsi="Times New Roman" w:cs="Times New Roman"/>
          <w:sz w:val="24"/>
          <w:szCs w:val="24"/>
        </w:rPr>
        <w:t xml:space="preserve"> to capture suspects. In this regard, Holder states that “we must also recognize that there are instances where our government has the clear authority…to defend the United States through the appropriate and lawful use of lethal force.”</w:t>
      </w:r>
      <w:r w:rsidRPr="001A4DF7">
        <w:rPr>
          <w:rStyle w:val="EndnoteReference"/>
          <w:rFonts w:ascii="Times New Roman" w:hAnsi="Times New Roman" w:cs="Times New Roman"/>
          <w:sz w:val="24"/>
          <w:szCs w:val="24"/>
        </w:rPr>
        <w:endnoteReference w:id="100"/>
      </w:r>
      <w:r w:rsidRPr="001A4DF7">
        <w:rPr>
          <w:rFonts w:ascii="Times New Roman" w:hAnsi="Times New Roman" w:cs="Times New Roman"/>
          <w:sz w:val="24"/>
          <w:szCs w:val="24"/>
        </w:rPr>
        <w:t xml:space="preserve"> Of course, the problem with killing </w:t>
      </w:r>
      <w:r w:rsidRPr="001A4DF7">
        <w:rPr>
          <w:rFonts w:ascii="Times New Roman" w:hAnsi="Times New Roman" w:cs="Times New Roman"/>
          <w:i/>
          <w:sz w:val="24"/>
          <w:szCs w:val="24"/>
        </w:rPr>
        <w:t xml:space="preserve">suspects </w:t>
      </w:r>
      <w:r w:rsidRPr="001A4DF7">
        <w:rPr>
          <w:rFonts w:ascii="Times New Roman" w:hAnsi="Times New Roman" w:cs="Times New Roman"/>
          <w:sz w:val="24"/>
          <w:szCs w:val="24"/>
        </w:rPr>
        <w:t xml:space="preserve">is that they are just that; suspected wrongdoing likely fails to meet the legal threshold of danger </w:t>
      </w:r>
      <w:r w:rsidRPr="001A4DF7">
        <w:rPr>
          <w:rFonts w:ascii="Times New Roman" w:hAnsi="Times New Roman" w:cs="Times New Roman"/>
          <w:sz w:val="24"/>
          <w:szCs w:val="24"/>
        </w:rPr>
        <w:lastRenderedPageBreak/>
        <w:t xml:space="preserve">required to justify killing someone. This is true even in the context of an armed conflict. An individual cannot simply be assumed to be a participant in the armed conflict. The principle of distinction requires that “civilians” be distinguished from “combatants.” When there is doubt, individuals must be assumed to be civilians unless there is clear evidence that they are participants in the armed conflict. Identifying individuals as “terrorist suspects” and “suspected terrorists” would seem to be insufficient, precisely because it confirms the existence of doubt. This conclusion is grounded in more than the parsing of words. Obama administration officials tasked with justifying the policy of killing individuals were predominantly lawyers; it is unlikely that these officials would use the terms “suspect” and “suspected” loosely (as anything but the way in which the terms are used in criminal law). </w:t>
      </w:r>
    </w:p>
    <w:p w14:paraId="18CC007B" w14:textId="77777777" w:rsidR="001978B5" w:rsidRPr="001A4DF7" w:rsidRDefault="001978B5" w:rsidP="001978B5">
      <w:pPr>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t>Second, and more significantly still, officials explicitly acknowledge that there were times when the Obama administration approved the execution of individuals even when they were not absolutely certain that the individual was a member of al-Qaeda or an associated group. Holder, for example, places his use of “suspected terrorists” directly in the context of meaning someone for whom there exists some uncertainty regarding guilt: “Here, the interests on both sides of the scale are extraordinarily weighty. An individual’s interest in making sure that the government does not target him erroneously could not be more significant.”</w:t>
      </w:r>
      <w:r w:rsidRPr="001A4DF7">
        <w:rPr>
          <w:rStyle w:val="EndnoteReference"/>
          <w:rFonts w:ascii="Times New Roman" w:hAnsi="Times New Roman" w:cs="Times New Roman"/>
          <w:sz w:val="24"/>
          <w:szCs w:val="24"/>
        </w:rPr>
        <w:endnoteReference w:id="101"/>
      </w:r>
      <w:r w:rsidRPr="001A4DF7">
        <w:rPr>
          <w:rFonts w:ascii="Times New Roman" w:hAnsi="Times New Roman" w:cs="Times New Roman"/>
          <w:sz w:val="24"/>
          <w:szCs w:val="24"/>
        </w:rPr>
        <w:t xml:space="preserve"> Nonetheless, according to Holder, “it is imperative for the government to counter threats posed by senior operational leaders of al Qaeda, and to protect the innocent people whose lives could be lost in their attacks.”</w:t>
      </w:r>
      <w:r w:rsidRPr="001A4DF7">
        <w:rPr>
          <w:rStyle w:val="EndnoteReference"/>
          <w:rFonts w:ascii="Times New Roman" w:hAnsi="Times New Roman" w:cs="Times New Roman"/>
          <w:sz w:val="24"/>
          <w:szCs w:val="24"/>
        </w:rPr>
        <w:endnoteReference w:id="102"/>
      </w:r>
      <w:r w:rsidRPr="001A4DF7">
        <w:rPr>
          <w:rFonts w:ascii="Times New Roman" w:hAnsi="Times New Roman" w:cs="Times New Roman"/>
          <w:sz w:val="24"/>
          <w:szCs w:val="24"/>
        </w:rPr>
        <w:t xml:space="preserve"> Holder’s clear implication is that there are times when an individual’s interest in avoiding being wrongfully killed is superseded by America’s national security, demonstrating a willingness to kill, even when there is doubt. As noted above, even under the lax restrictions on the use of deadly force found in the laws of armed conflict, killing individuals when there is </w:t>
      </w:r>
      <w:r w:rsidRPr="001A4DF7">
        <w:rPr>
          <w:rFonts w:ascii="Times New Roman" w:hAnsi="Times New Roman" w:cs="Times New Roman"/>
          <w:sz w:val="24"/>
          <w:szCs w:val="24"/>
        </w:rPr>
        <w:lastRenderedPageBreak/>
        <w:t xml:space="preserve">doubt regarding whether they are participants in the armed conflict fails to satisfy the principle of distinction. </w:t>
      </w:r>
    </w:p>
    <w:p w14:paraId="653B2D9F" w14:textId="77777777" w:rsidR="001978B5" w:rsidRPr="001A4DF7" w:rsidRDefault="001978B5" w:rsidP="001978B5">
      <w:pPr>
        <w:spacing w:after="0" w:line="480" w:lineRule="auto"/>
        <w:ind w:firstLine="720"/>
        <w:rPr>
          <w:rFonts w:ascii="Times New Roman" w:hAnsi="Times New Roman" w:cs="Times New Roman"/>
          <w:iCs/>
          <w:sz w:val="24"/>
          <w:szCs w:val="24"/>
        </w:rPr>
      </w:pPr>
      <w:r w:rsidRPr="001A4DF7">
        <w:rPr>
          <w:rFonts w:ascii="Times New Roman" w:hAnsi="Times New Roman" w:cs="Times New Roman"/>
          <w:sz w:val="24"/>
          <w:szCs w:val="24"/>
        </w:rPr>
        <w:t>Third, in a particularly troubling admission, Brennan went further still, stating explicitly that the Obama administration used deadly force even when it lacked certainty regarding the identity of the individual it sought to kill. According to Brennan, “we only authorize a particular operation against a specific individual if we have a high degree of confidence that the individual being targeted is indeed the terrorist we are pursuing.”</w:t>
      </w:r>
      <w:r w:rsidRPr="001A4DF7">
        <w:rPr>
          <w:rStyle w:val="EndnoteReference"/>
          <w:rFonts w:ascii="Times New Roman" w:hAnsi="Times New Roman" w:cs="Times New Roman"/>
          <w:sz w:val="24"/>
          <w:szCs w:val="24"/>
        </w:rPr>
        <w:endnoteReference w:id="103"/>
      </w:r>
      <w:r w:rsidRPr="001A4DF7">
        <w:rPr>
          <w:rFonts w:ascii="Times New Roman" w:hAnsi="Times New Roman" w:cs="Times New Roman"/>
          <w:sz w:val="24"/>
          <w:szCs w:val="24"/>
        </w:rPr>
        <w:t xml:space="preserve"> This, Brennan argued, “is a very high bar.”</w:t>
      </w:r>
      <w:r w:rsidRPr="001A4DF7">
        <w:rPr>
          <w:rStyle w:val="EndnoteReference"/>
          <w:rFonts w:ascii="Times New Roman" w:hAnsi="Times New Roman" w:cs="Times New Roman"/>
          <w:sz w:val="24"/>
          <w:szCs w:val="24"/>
        </w:rPr>
        <w:endnoteReference w:id="104"/>
      </w:r>
      <w:r w:rsidRPr="001A4DF7">
        <w:rPr>
          <w:rFonts w:ascii="Times New Roman" w:hAnsi="Times New Roman" w:cs="Times New Roman"/>
          <w:sz w:val="24"/>
          <w:szCs w:val="24"/>
        </w:rPr>
        <w:t xml:space="preserve"> But it was one that was frequently met, since </w:t>
      </w:r>
      <w:r w:rsidRPr="001A4DF7">
        <w:rPr>
          <w:rFonts w:ascii="Times New Roman" w:hAnsi="Times New Roman" w:cs="Times New Roman"/>
          <w:iCs/>
          <w:sz w:val="24"/>
          <w:szCs w:val="24"/>
        </w:rPr>
        <w:t>the US “simply cannot afford to wait until deadly plans are carried out.”</w:t>
      </w:r>
      <w:r w:rsidRPr="001A4DF7">
        <w:rPr>
          <w:rStyle w:val="EndnoteReference"/>
          <w:rFonts w:ascii="Times New Roman" w:hAnsi="Times New Roman" w:cs="Times New Roman"/>
          <w:iCs/>
          <w:sz w:val="24"/>
          <w:szCs w:val="24"/>
        </w:rPr>
        <w:endnoteReference w:id="105"/>
      </w:r>
      <w:r w:rsidRPr="001A4DF7">
        <w:rPr>
          <w:rFonts w:ascii="Times New Roman" w:hAnsi="Times New Roman" w:cs="Times New Roman"/>
          <w:iCs/>
          <w:sz w:val="24"/>
          <w:szCs w:val="24"/>
        </w:rPr>
        <w:t xml:space="preserve"> The logical demands imposed by a discourse of pre-emption in the cause of national security ultimately outweighed and overrode concerns to satisfy two crucial components of the law of armed conflict. In other words, the US, under Obama, used deadly force against “terrorist suspects” and “suspected terrorists” even when there was only a “</w:t>
      </w:r>
      <w:r w:rsidRPr="001A4DF7">
        <w:rPr>
          <w:rFonts w:ascii="Times New Roman" w:hAnsi="Times New Roman" w:cs="Times New Roman"/>
          <w:sz w:val="24"/>
          <w:szCs w:val="24"/>
        </w:rPr>
        <w:t>high degree of confidence that the individual being targeted is indeed the terrorist we are pursuing”</w:t>
      </w:r>
      <w:r w:rsidRPr="001A4DF7">
        <w:rPr>
          <w:rStyle w:val="EndnoteReference"/>
          <w:rFonts w:ascii="Times New Roman" w:hAnsi="Times New Roman" w:cs="Times New Roman"/>
          <w:sz w:val="24"/>
          <w:szCs w:val="24"/>
        </w:rPr>
        <w:endnoteReference w:id="106"/>
      </w:r>
      <w:r w:rsidRPr="001A4DF7">
        <w:rPr>
          <w:rFonts w:ascii="Times New Roman" w:hAnsi="Times New Roman" w:cs="Times New Roman"/>
          <w:sz w:val="24"/>
          <w:szCs w:val="24"/>
        </w:rPr>
        <w:t xml:space="preserve"> and when there was only “near-certainty that no civilians will be killed or injured.”</w:t>
      </w:r>
      <w:r w:rsidRPr="001A4DF7">
        <w:rPr>
          <w:rStyle w:val="EndnoteReference"/>
          <w:rFonts w:ascii="Times New Roman" w:hAnsi="Times New Roman" w:cs="Times New Roman"/>
          <w:sz w:val="24"/>
          <w:szCs w:val="24"/>
        </w:rPr>
        <w:endnoteReference w:id="107"/>
      </w:r>
      <w:r w:rsidRPr="001A4DF7">
        <w:rPr>
          <w:rFonts w:ascii="Times New Roman" w:hAnsi="Times New Roman" w:cs="Times New Roman"/>
          <w:sz w:val="24"/>
          <w:szCs w:val="24"/>
        </w:rPr>
        <w:t xml:space="preserve"> </w:t>
      </w:r>
      <w:r w:rsidRPr="001A4DF7">
        <w:rPr>
          <w:rFonts w:ascii="Times New Roman" w:hAnsi="Times New Roman" w:cs="Times New Roman"/>
          <w:iCs/>
          <w:sz w:val="24"/>
          <w:szCs w:val="24"/>
        </w:rPr>
        <w:t>Doing so, the administration insisted, was “an indicator of our times – not a departure from our laws and our values.”</w:t>
      </w:r>
      <w:r w:rsidRPr="001A4DF7">
        <w:rPr>
          <w:rStyle w:val="EndnoteReference"/>
          <w:rFonts w:ascii="Times New Roman" w:hAnsi="Times New Roman" w:cs="Times New Roman"/>
          <w:iCs/>
          <w:sz w:val="24"/>
          <w:szCs w:val="24"/>
        </w:rPr>
        <w:endnoteReference w:id="108"/>
      </w:r>
    </w:p>
    <w:p w14:paraId="2A521CC8" w14:textId="428D7918" w:rsidR="001978B5" w:rsidRPr="001A4DF7" w:rsidRDefault="001978B5" w:rsidP="001978B5">
      <w:pPr>
        <w:autoSpaceDE w:val="0"/>
        <w:autoSpaceDN w:val="0"/>
        <w:adjustRightInd w:val="0"/>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t>The Obama administration placed significant effort into mitigating the contradictions involved with killing suspects by ensuring they receive “due process.” Obama stressed that this process does not involve “a bunch of folks in a room somewhere just making decisions”</w:t>
      </w:r>
      <w:r w:rsidRPr="001A4DF7">
        <w:rPr>
          <w:rStyle w:val="EndnoteReference"/>
          <w:rFonts w:ascii="Times New Roman" w:hAnsi="Times New Roman" w:cs="Times New Roman"/>
          <w:sz w:val="24"/>
          <w:szCs w:val="24"/>
        </w:rPr>
        <w:endnoteReference w:id="109"/>
      </w:r>
      <w:r w:rsidRPr="001A4DF7">
        <w:rPr>
          <w:rFonts w:ascii="Times New Roman" w:hAnsi="Times New Roman" w:cs="Times New Roman"/>
          <w:sz w:val="24"/>
          <w:szCs w:val="24"/>
        </w:rPr>
        <w:t>; rather, it includes “rigorous standards and process of review.”</w:t>
      </w:r>
      <w:r w:rsidRPr="001A4DF7">
        <w:rPr>
          <w:rStyle w:val="EndnoteReference"/>
          <w:rFonts w:ascii="Times New Roman" w:hAnsi="Times New Roman" w:cs="Times New Roman"/>
          <w:sz w:val="24"/>
          <w:szCs w:val="24"/>
        </w:rPr>
        <w:endnoteReference w:id="110"/>
      </w:r>
      <w:r w:rsidRPr="001A4DF7">
        <w:rPr>
          <w:rFonts w:ascii="Times New Roman" w:hAnsi="Times New Roman" w:cs="Times New Roman"/>
          <w:sz w:val="24"/>
          <w:szCs w:val="24"/>
        </w:rPr>
        <w:t xml:space="preserve"> Elaborating, Koh emphasized that the “procedures and practices for identifying lawful targets are extremely robust.”</w:t>
      </w:r>
      <w:r w:rsidRPr="001A4DF7">
        <w:rPr>
          <w:rStyle w:val="EndnoteReference"/>
          <w:rFonts w:ascii="Times New Roman" w:hAnsi="Times New Roman" w:cs="Times New Roman"/>
          <w:sz w:val="24"/>
          <w:szCs w:val="24"/>
        </w:rPr>
        <w:endnoteReference w:id="111"/>
      </w:r>
      <w:r w:rsidRPr="001A4DF7">
        <w:rPr>
          <w:rFonts w:ascii="Times New Roman" w:hAnsi="Times New Roman" w:cs="Times New Roman"/>
          <w:sz w:val="24"/>
          <w:szCs w:val="24"/>
        </w:rPr>
        <w:t xml:space="preserve"> Officials produce a list of potential targets – suggesting individuals to be killed – and these proposals “go through a careful review and, as appropriate, will be evaluated by the most senior </w:t>
      </w:r>
      <w:r w:rsidRPr="001A4DF7">
        <w:rPr>
          <w:rFonts w:ascii="Times New Roman" w:hAnsi="Times New Roman" w:cs="Times New Roman"/>
          <w:sz w:val="24"/>
          <w:szCs w:val="24"/>
        </w:rPr>
        <w:lastRenderedPageBreak/>
        <w:t>officials in our government for decision.”</w:t>
      </w:r>
      <w:r w:rsidRPr="001A4DF7">
        <w:rPr>
          <w:rStyle w:val="EndnoteReference"/>
          <w:rFonts w:ascii="Times New Roman" w:hAnsi="Times New Roman" w:cs="Times New Roman"/>
          <w:sz w:val="24"/>
          <w:szCs w:val="24"/>
        </w:rPr>
        <w:endnoteReference w:id="112"/>
      </w:r>
      <w:r w:rsidRPr="001A4DF7">
        <w:rPr>
          <w:rFonts w:ascii="Times New Roman" w:hAnsi="Times New Roman" w:cs="Times New Roman"/>
          <w:sz w:val="24"/>
          <w:szCs w:val="24"/>
        </w:rPr>
        <w:t xml:space="preserve"> The “views and opinions of the lawyers on the President’s national security team are debated and heavily scrutinized.”</w:t>
      </w:r>
      <w:r w:rsidRPr="001A4DF7">
        <w:rPr>
          <w:rStyle w:val="EndnoteReference"/>
          <w:rFonts w:ascii="Times New Roman" w:hAnsi="Times New Roman" w:cs="Times New Roman"/>
          <w:sz w:val="24"/>
          <w:szCs w:val="24"/>
        </w:rPr>
        <w:endnoteReference w:id="113"/>
      </w:r>
      <w:r w:rsidRPr="001A4DF7">
        <w:rPr>
          <w:rFonts w:ascii="Times New Roman" w:hAnsi="Times New Roman" w:cs="Times New Roman"/>
          <w:sz w:val="24"/>
          <w:szCs w:val="24"/>
        </w:rPr>
        <w:t xml:space="preserve"> These lengths, Americans were told, ensured that individuals targeted by Obama’s drone policy did, more often than not, “deserve” to die; they were legitimate targets, arrived at following due and diligent process. Yet, that there was a process of determining guilt at all is illustrative of the difference between killing specific individuals during World War II and Obama’s killing program. No such process was required </w:t>
      </w:r>
      <w:r w:rsidR="00DE55A4" w:rsidRPr="00426ABE">
        <w:rPr>
          <w:rFonts w:ascii="Times New Roman" w:hAnsi="Times New Roman" w:cs="Times New Roman"/>
          <w:sz w:val="24"/>
          <w:szCs w:val="24"/>
        </w:rPr>
        <w:t>in the case of the former</w:t>
      </w:r>
      <w:r w:rsidR="00DE55A4">
        <w:rPr>
          <w:rFonts w:ascii="Times New Roman" w:hAnsi="Times New Roman" w:cs="Times New Roman"/>
          <w:sz w:val="24"/>
          <w:szCs w:val="24"/>
        </w:rPr>
        <w:t xml:space="preserve"> </w:t>
      </w:r>
      <w:r w:rsidRPr="001A4DF7">
        <w:rPr>
          <w:rFonts w:ascii="Times New Roman" w:hAnsi="Times New Roman" w:cs="Times New Roman"/>
          <w:sz w:val="24"/>
          <w:szCs w:val="24"/>
        </w:rPr>
        <w:t xml:space="preserve">to determine who could be killed and who had immunity. </w:t>
      </w:r>
    </w:p>
    <w:p w14:paraId="5B07F8BA" w14:textId="7EC8E4A6" w:rsidR="00DD6C27" w:rsidRPr="00426ABE" w:rsidRDefault="000A2A0D" w:rsidP="0010362A">
      <w:pPr>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t xml:space="preserve">As was shown above, killing ‘terrorist suspects’ and ‘suspected terrorists’ leaves open the very real possibility, one acknowledged by Obama administration officials, that individuals not suspected of any wrongdoing will be killed. This includes both individuals ‘mistakenly’ attacked and those who are killed in the process, </w:t>
      </w:r>
      <w:r w:rsidRPr="00426ABE">
        <w:rPr>
          <w:rFonts w:ascii="Times New Roman" w:hAnsi="Times New Roman" w:cs="Times New Roman"/>
          <w:sz w:val="24"/>
          <w:szCs w:val="24"/>
        </w:rPr>
        <w:t>that is ‘collateral damage’. Dehumanizing the victims, then, is essential</w:t>
      </w:r>
      <w:r w:rsidR="003C1D76" w:rsidRPr="00426ABE">
        <w:rPr>
          <w:rFonts w:ascii="Times New Roman" w:hAnsi="Times New Roman" w:cs="Times New Roman"/>
          <w:sz w:val="24"/>
          <w:szCs w:val="24"/>
        </w:rPr>
        <w:t xml:space="preserve"> and is </w:t>
      </w:r>
      <w:r w:rsidR="00FD74C3" w:rsidRPr="00426ABE">
        <w:rPr>
          <w:rFonts w:ascii="Times New Roman" w:hAnsi="Times New Roman" w:cs="Times New Roman"/>
          <w:sz w:val="24"/>
          <w:szCs w:val="24"/>
        </w:rPr>
        <w:t>epitomized by the systematic use of ‘target’</w:t>
      </w:r>
      <w:r w:rsidR="003C1D76" w:rsidRPr="00426ABE">
        <w:rPr>
          <w:rFonts w:ascii="Times New Roman" w:hAnsi="Times New Roman" w:cs="Times New Roman"/>
          <w:sz w:val="24"/>
          <w:szCs w:val="24"/>
        </w:rPr>
        <w:t>. The fact that an individual is named a target legitimizes the use of lethal force by assigning guilt.</w:t>
      </w:r>
      <w:r w:rsidR="003C1D76" w:rsidRPr="00426ABE">
        <w:rPr>
          <w:rStyle w:val="EndnoteReference"/>
          <w:rFonts w:ascii="Times New Roman" w:hAnsi="Times New Roman" w:cs="Times New Roman"/>
          <w:sz w:val="24"/>
          <w:szCs w:val="24"/>
        </w:rPr>
        <w:endnoteReference w:id="114"/>
      </w:r>
      <w:r w:rsidR="003C1D76" w:rsidRPr="00426ABE">
        <w:rPr>
          <w:rFonts w:ascii="Times New Roman" w:hAnsi="Times New Roman" w:cs="Times New Roman"/>
          <w:sz w:val="24"/>
          <w:szCs w:val="24"/>
        </w:rPr>
        <w:t xml:space="preserve"> </w:t>
      </w:r>
      <w:r w:rsidR="00DD6C27" w:rsidRPr="00426ABE">
        <w:rPr>
          <w:rFonts w:ascii="Times New Roman" w:hAnsi="Times New Roman" w:cs="Times New Roman"/>
          <w:sz w:val="24"/>
          <w:szCs w:val="24"/>
        </w:rPr>
        <w:t>Gross asserts that the process of assigning guilt “proclaims soldiers outlaws,” situating them “outside the law.”</w:t>
      </w:r>
      <w:r w:rsidR="00DD6C27" w:rsidRPr="00426ABE">
        <w:rPr>
          <w:rStyle w:val="EndnoteReference"/>
          <w:rFonts w:ascii="Times New Roman" w:hAnsi="Times New Roman" w:cs="Times New Roman"/>
          <w:sz w:val="24"/>
          <w:szCs w:val="24"/>
        </w:rPr>
        <w:endnoteReference w:id="115"/>
      </w:r>
      <w:r w:rsidR="00DD6C27" w:rsidRPr="00426ABE">
        <w:rPr>
          <w:rFonts w:ascii="Times New Roman" w:hAnsi="Times New Roman" w:cs="Times New Roman"/>
          <w:sz w:val="24"/>
          <w:szCs w:val="24"/>
        </w:rPr>
        <w:t xml:space="preserve"> However, the Obama administration entered office with a promise to usher in “a new era of engagement” and “renewed respect for international law and institutions.”</w:t>
      </w:r>
      <w:r w:rsidR="00DD6C27" w:rsidRPr="00426ABE">
        <w:rPr>
          <w:rStyle w:val="EndnoteReference"/>
          <w:rFonts w:ascii="Times New Roman" w:hAnsi="Times New Roman" w:cs="Times New Roman"/>
          <w:sz w:val="24"/>
          <w:szCs w:val="24"/>
        </w:rPr>
        <w:endnoteReference w:id="116"/>
      </w:r>
      <w:r w:rsidR="00F02376" w:rsidRPr="00426ABE">
        <w:rPr>
          <w:rFonts w:ascii="Times New Roman" w:hAnsi="Times New Roman" w:cs="Times New Roman"/>
          <w:sz w:val="24"/>
          <w:szCs w:val="24"/>
        </w:rPr>
        <w:t xml:space="preserve"> Therefore, it was not sufficient to simply place the victims of its killing program outside the law. Rather, the Obama administration sought to rewrite international law by </w:t>
      </w:r>
      <w:r w:rsidR="0010362A" w:rsidRPr="00426ABE">
        <w:rPr>
          <w:rFonts w:ascii="Times New Roman" w:hAnsi="Times New Roman" w:cs="Times New Roman"/>
          <w:sz w:val="24"/>
          <w:szCs w:val="24"/>
        </w:rPr>
        <w:t>in order to situate their killing program within.</w:t>
      </w:r>
    </w:p>
    <w:p w14:paraId="7B2E0611" w14:textId="7C76475F" w:rsidR="00DD6C27" w:rsidRDefault="00DD6C27" w:rsidP="000408BB">
      <w:pPr>
        <w:spacing w:after="0" w:line="480" w:lineRule="auto"/>
        <w:rPr>
          <w:rFonts w:ascii="Times New Roman" w:hAnsi="Times New Roman" w:cs="Times New Roman"/>
          <w:b/>
          <w:sz w:val="24"/>
          <w:szCs w:val="24"/>
        </w:rPr>
      </w:pPr>
    </w:p>
    <w:p w14:paraId="02607344" w14:textId="77777777" w:rsidR="000408BB" w:rsidRPr="00995E08" w:rsidRDefault="000408BB" w:rsidP="000408BB">
      <w:pPr>
        <w:autoSpaceDE w:val="0"/>
        <w:autoSpaceDN w:val="0"/>
        <w:adjustRightInd w:val="0"/>
        <w:spacing w:after="0" w:line="480" w:lineRule="auto"/>
        <w:rPr>
          <w:rFonts w:ascii="Times New Roman" w:hAnsi="Times New Roman" w:cs="Times New Roman"/>
          <w:b/>
          <w:i/>
          <w:sz w:val="24"/>
          <w:szCs w:val="24"/>
        </w:rPr>
      </w:pPr>
      <w:r w:rsidRPr="00995E08">
        <w:rPr>
          <w:rFonts w:ascii="Times New Roman" w:hAnsi="Times New Roman" w:cs="Times New Roman"/>
          <w:b/>
          <w:i/>
          <w:sz w:val="24"/>
          <w:szCs w:val="24"/>
        </w:rPr>
        <w:t>Unilaterally writing the rules of customary international law</w:t>
      </w:r>
    </w:p>
    <w:p w14:paraId="49329CB8" w14:textId="188CAC00" w:rsidR="000408BB" w:rsidRPr="00426ABE" w:rsidRDefault="000408BB" w:rsidP="000408BB">
      <w:pPr>
        <w:spacing w:after="0" w:line="480" w:lineRule="auto"/>
        <w:rPr>
          <w:rFonts w:ascii="Times New Roman" w:hAnsi="Times New Roman" w:cs="Times New Roman"/>
          <w:sz w:val="24"/>
          <w:szCs w:val="24"/>
        </w:rPr>
      </w:pPr>
      <w:r w:rsidRPr="001A4DF7">
        <w:rPr>
          <w:rFonts w:ascii="Times New Roman" w:hAnsi="Times New Roman" w:cs="Times New Roman"/>
          <w:sz w:val="24"/>
          <w:szCs w:val="24"/>
        </w:rPr>
        <w:lastRenderedPageBreak/>
        <w:t>In the previous section, it was shown how the Obama administration’s attempt to situate its killing program in existing international law could not withstand scrutiny. In this regard, Obama’s legal argumentation could be analyzed as an attempt to write new rules of customary international law (CIL). CIL is developed through the combination of state practice and legal opinion (</w:t>
      </w:r>
      <w:proofErr w:type="spellStart"/>
      <w:r w:rsidRPr="001A4DF7">
        <w:rPr>
          <w:rFonts w:ascii="Times New Roman" w:hAnsi="Times New Roman" w:cs="Times New Roman"/>
          <w:i/>
          <w:sz w:val="24"/>
          <w:szCs w:val="24"/>
        </w:rPr>
        <w:t>opinio</w:t>
      </w:r>
      <w:proofErr w:type="spellEnd"/>
      <w:r w:rsidRPr="001A4DF7">
        <w:rPr>
          <w:rFonts w:ascii="Times New Roman" w:hAnsi="Times New Roman" w:cs="Times New Roman"/>
          <w:i/>
          <w:sz w:val="24"/>
          <w:szCs w:val="24"/>
        </w:rPr>
        <w:t xml:space="preserve"> juris</w:t>
      </w:r>
      <w:r w:rsidRPr="001A4DF7">
        <w:rPr>
          <w:rFonts w:ascii="Times New Roman" w:hAnsi="Times New Roman" w:cs="Times New Roman"/>
          <w:sz w:val="24"/>
          <w:szCs w:val="24"/>
        </w:rPr>
        <w:t xml:space="preserve">). In other words, when we infer or deduce rules of CIL, it is necessary to examine both what states do and why they </w:t>
      </w:r>
      <w:r w:rsidRPr="00426ABE">
        <w:rPr>
          <w:rFonts w:ascii="Times New Roman" w:hAnsi="Times New Roman" w:cs="Times New Roman"/>
          <w:sz w:val="24"/>
          <w:szCs w:val="24"/>
        </w:rPr>
        <w:t>do it.</w:t>
      </w:r>
      <w:r w:rsidRPr="00426ABE">
        <w:rPr>
          <w:rStyle w:val="EndnoteReference"/>
          <w:rFonts w:ascii="Times New Roman" w:hAnsi="Times New Roman" w:cs="Times New Roman"/>
          <w:sz w:val="24"/>
          <w:szCs w:val="24"/>
        </w:rPr>
        <w:endnoteReference w:id="117"/>
      </w:r>
      <w:r w:rsidR="00603B5B" w:rsidRPr="00426ABE">
        <w:rPr>
          <w:rFonts w:ascii="Times New Roman" w:hAnsi="Times New Roman" w:cs="Times New Roman"/>
          <w:sz w:val="24"/>
          <w:szCs w:val="24"/>
        </w:rPr>
        <w:t xml:space="preserve"> State practice can include acts of commission and omission. Similarly, legal opinion can include statements in support of an act </w:t>
      </w:r>
      <w:r w:rsidR="00357430" w:rsidRPr="00426ABE">
        <w:rPr>
          <w:rFonts w:ascii="Times New Roman" w:hAnsi="Times New Roman" w:cs="Times New Roman"/>
          <w:sz w:val="24"/>
          <w:szCs w:val="24"/>
        </w:rPr>
        <w:t xml:space="preserve">or policy </w:t>
      </w:r>
      <w:r w:rsidR="00603B5B" w:rsidRPr="00426ABE">
        <w:rPr>
          <w:rFonts w:ascii="Times New Roman" w:hAnsi="Times New Roman" w:cs="Times New Roman"/>
          <w:sz w:val="24"/>
          <w:szCs w:val="24"/>
        </w:rPr>
        <w:t xml:space="preserve">and objections to it. </w:t>
      </w:r>
      <w:r w:rsidR="00234C5D" w:rsidRPr="00426ABE">
        <w:rPr>
          <w:rFonts w:ascii="Times New Roman" w:hAnsi="Times New Roman" w:cs="Times New Roman"/>
          <w:sz w:val="24"/>
          <w:szCs w:val="24"/>
        </w:rPr>
        <w:t xml:space="preserve">Though there are no set parameters regarding how many states must </w:t>
      </w:r>
      <w:r w:rsidR="00DA3A8C" w:rsidRPr="00426ABE">
        <w:rPr>
          <w:rFonts w:ascii="Times New Roman" w:hAnsi="Times New Roman" w:cs="Times New Roman"/>
          <w:sz w:val="24"/>
          <w:szCs w:val="24"/>
        </w:rPr>
        <w:t xml:space="preserve">consistently </w:t>
      </w:r>
      <w:r w:rsidR="00234C5D" w:rsidRPr="00426ABE">
        <w:rPr>
          <w:rFonts w:ascii="Times New Roman" w:hAnsi="Times New Roman" w:cs="Times New Roman"/>
          <w:sz w:val="24"/>
          <w:szCs w:val="24"/>
        </w:rPr>
        <w:t>practice or refrain from practicing a particular act</w:t>
      </w:r>
      <w:r w:rsidR="00357430" w:rsidRPr="00426ABE">
        <w:rPr>
          <w:rFonts w:ascii="Times New Roman" w:hAnsi="Times New Roman" w:cs="Times New Roman"/>
          <w:sz w:val="24"/>
          <w:szCs w:val="24"/>
        </w:rPr>
        <w:t xml:space="preserve"> </w:t>
      </w:r>
      <w:r w:rsidR="00DA3A8C" w:rsidRPr="00426ABE">
        <w:rPr>
          <w:rFonts w:ascii="Times New Roman" w:hAnsi="Times New Roman" w:cs="Times New Roman"/>
          <w:sz w:val="24"/>
          <w:szCs w:val="24"/>
        </w:rPr>
        <w:t>and for how long,</w:t>
      </w:r>
      <w:r w:rsidR="00234C5D" w:rsidRPr="00426ABE">
        <w:rPr>
          <w:rFonts w:ascii="Times New Roman" w:hAnsi="Times New Roman" w:cs="Times New Roman"/>
          <w:sz w:val="24"/>
          <w:szCs w:val="24"/>
        </w:rPr>
        <w:t xml:space="preserve"> accompanied by expressed legal argumentation, before new customary law emerges, </w:t>
      </w:r>
      <w:r w:rsidR="00DA3A8C" w:rsidRPr="00426ABE">
        <w:rPr>
          <w:rFonts w:ascii="Times New Roman" w:hAnsi="Times New Roman" w:cs="Times New Roman"/>
          <w:sz w:val="24"/>
          <w:szCs w:val="24"/>
        </w:rPr>
        <w:t>it is generally understood that new customary law requires some consensus among states.</w:t>
      </w:r>
    </w:p>
    <w:p w14:paraId="35B30E59" w14:textId="5A6A8B0C" w:rsidR="000408BB" w:rsidRPr="001A4DF7" w:rsidRDefault="000408BB" w:rsidP="000408BB">
      <w:pPr>
        <w:spacing w:after="0" w:line="480" w:lineRule="auto"/>
        <w:rPr>
          <w:rFonts w:ascii="Times New Roman" w:hAnsi="Times New Roman" w:cs="Times New Roman"/>
          <w:sz w:val="24"/>
          <w:szCs w:val="24"/>
        </w:rPr>
      </w:pPr>
      <w:r w:rsidRPr="00426ABE">
        <w:rPr>
          <w:rFonts w:ascii="Times New Roman" w:hAnsi="Times New Roman" w:cs="Times New Roman"/>
          <w:sz w:val="24"/>
          <w:szCs w:val="24"/>
        </w:rPr>
        <w:tab/>
        <w:t>The problem with justifying Obama’s killing program by CIL is that the US was the one and only state to practice the widespread use of killing at the time Obama sought to make his legal case.</w:t>
      </w:r>
      <w:r w:rsidR="0010362A" w:rsidRPr="00426ABE">
        <w:rPr>
          <w:rFonts w:ascii="Times New Roman" w:hAnsi="Times New Roman" w:cs="Times New Roman"/>
          <w:sz w:val="24"/>
          <w:szCs w:val="24"/>
        </w:rPr>
        <w:t xml:space="preserve"> Furthermore, at its peak, Obama’s killing program was placed under intense scrutiny.</w:t>
      </w:r>
      <w:r w:rsidRPr="00426ABE">
        <w:rPr>
          <w:rFonts w:ascii="Times New Roman" w:hAnsi="Times New Roman" w:cs="Times New Roman"/>
          <w:sz w:val="24"/>
          <w:szCs w:val="24"/>
        </w:rPr>
        <w:t xml:space="preserve"> As Christine Gray notes, the “express invocation of a new formula by one state is not enough to change the law.”</w:t>
      </w:r>
      <w:r w:rsidRPr="00426ABE">
        <w:rPr>
          <w:rStyle w:val="EndnoteReference"/>
          <w:rFonts w:ascii="Times New Roman" w:hAnsi="Times New Roman" w:cs="Times New Roman"/>
          <w:sz w:val="24"/>
          <w:szCs w:val="24"/>
        </w:rPr>
        <w:endnoteReference w:id="118"/>
      </w:r>
      <w:r w:rsidRPr="00426ABE">
        <w:rPr>
          <w:rFonts w:ascii="Times New Roman" w:hAnsi="Times New Roman" w:cs="Times New Roman"/>
          <w:sz w:val="24"/>
          <w:szCs w:val="24"/>
        </w:rPr>
        <w:t xml:space="preserve"> Similarly, Alston states that implicit or explicit claims to a new legal right to maintain and implement a killing progr</w:t>
      </w:r>
      <w:r w:rsidRPr="001A4DF7">
        <w:rPr>
          <w:rFonts w:ascii="Times New Roman" w:hAnsi="Times New Roman" w:cs="Times New Roman"/>
          <w:sz w:val="24"/>
          <w:szCs w:val="24"/>
        </w:rPr>
        <w:t>am outside of armed conflict and its associated battlefields must be evaluated against the practices and policies of the majority of states, “not those of the handful which have conveniently sought to create their own personalized normative framework.”</w:t>
      </w:r>
      <w:r w:rsidRPr="001A4DF7">
        <w:rPr>
          <w:rStyle w:val="EndnoteReference"/>
          <w:rFonts w:ascii="Times New Roman" w:hAnsi="Times New Roman" w:cs="Times New Roman"/>
          <w:sz w:val="24"/>
          <w:szCs w:val="24"/>
        </w:rPr>
        <w:endnoteReference w:id="119"/>
      </w:r>
    </w:p>
    <w:p w14:paraId="313A2C19" w14:textId="77777777" w:rsidR="000408BB" w:rsidRPr="001A4DF7" w:rsidRDefault="000408BB" w:rsidP="000408BB">
      <w:pPr>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t xml:space="preserve">Accepting the emergence of new CIL based on the actions of one or two states is illustrative of the (problematic) role power plays in international relations. As Charles de Visscher notes, “Among the users are always some who mark the soil more deeply with their </w:t>
      </w:r>
      <w:r w:rsidRPr="001A4DF7">
        <w:rPr>
          <w:rFonts w:ascii="Times New Roman" w:hAnsi="Times New Roman" w:cs="Times New Roman"/>
          <w:sz w:val="24"/>
          <w:szCs w:val="24"/>
        </w:rPr>
        <w:lastRenderedPageBreak/>
        <w:t>footprints than others, either because of their weight, which is to say their power in this world, or because their interests bring them more frequently this way.”</w:t>
      </w:r>
      <w:r w:rsidRPr="001A4DF7">
        <w:rPr>
          <w:rStyle w:val="EndnoteReference"/>
          <w:rFonts w:ascii="Times New Roman" w:hAnsi="Times New Roman" w:cs="Times New Roman"/>
          <w:sz w:val="24"/>
          <w:szCs w:val="24"/>
        </w:rPr>
        <w:endnoteReference w:id="120"/>
      </w:r>
      <w:r w:rsidRPr="001A4DF7">
        <w:rPr>
          <w:rFonts w:ascii="Times New Roman" w:hAnsi="Times New Roman" w:cs="Times New Roman"/>
          <w:sz w:val="24"/>
          <w:szCs w:val="24"/>
        </w:rPr>
        <w:t xml:space="preserve"> Daniel </w:t>
      </w:r>
      <w:proofErr w:type="spellStart"/>
      <w:r w:rsidRPr="001A4DF7">
        <w:rPr>
          <w:rFonts w:ascii="Times New Roman" w:hAnsi="Times New Roman" w:cs="Times New Roman"/>
          <w:sz w:val="24"/>
          <w:szCs w:val="24"/>
        </w:rPr>
        <w:t>Bodansky</w:t>
      </w:r>
      <w:proofErr w:type="spellEnd"/>
      <w:r w:rsidRPr="001A4DF7">
        <w:rPr>
          <w:rFonts w:ascii="Times New Roman" w:hAnsi="Times New Roman" w:cs="Times New Roman"/>
          <w:sz w:val="24"/>
          <w:szCs w:val="24"/>
        </w:rPr>
        <w:t xml:space="preserve"> poses a number of related questions about the customary process: “what economic, social, psychological, and political processes explain the emergence of customary norms? To what extent, for example, do customary norms emerge as a result of calculations by states of rational self-interest? To what extent are they imposed by powerful states (what international relations scholars refer to as ‘hegemons’)?”</w:t>
      </w:r>
      <w:r w:rsidRPr="001A4DF7">
        <w:rPr>
          <w:rStyle w:val="EndnoteReference"/>
          <w:rFonts w:ascii="Times New Roman" w:hAnsi="Times New Roman" w:cs="Times New Roman"/>
          <w:sz w:val="24"/>
          <w:szCs w:val="24"/>
        </w:rPr>
        <w:endnoteReference w:id="121"/>
      </w:r>
      <w:r w:rsidRPr="001A4DF7">
        <w:rPr>
          <w:rFonts w:ascii="Times New Roman" w:hAnsi="Times New Roman" w:cs="Times New Roman"/>
          <w:sz w:val="24"/>
          <w:szCs w:val="24"/>
        </w:rPr>
        <w:t xml:space="preserve"> Because of the lack of formalized procedures in the area of CIL, and the central role played by behavior in its development, maintenance and change of customary rules may easily digress to “might is right.” More importantly, powerful States can do more than simply influence the behavior of weaker States, they can act, or not, in situations where weaker states may want to but do not have the capabilities or the claimed legal right to do so. Thus, as Leander and </w:t>
      </w:r>
      <w:proofErr w:type="spellStart"/>
      <w:r w:rsidRPr="001A4DF7">
        <w:rPr>
          <w:rFonts w:ascii="Times New Roman" w:hAnsi="Times New Roman" w:cs="Times New Roman"/>
          <w:sz w:val="24"/>
          <w:szCs w:val="24"/>
        </w:rPr>
        <w:t>Aalberts</w:t>
      </w:r>
      <w:proofErr w:type="spellEnd"/>
      <w:r w:rsidRPr="001A4DF7">
        <w:rPr>
          <w:rFonts w:ascii="Times New Roman" w:hAnsi="Times New Roman" w:cs="Times New Roman"/>
          <w:sz w:val="24"/>
          <w:szCs w:val="24"/>
        </w:rPr>
        <w:t xml:space="preserve"> note, it is simply not possible to de-</w:t>
      </w:r>
      <w:proofErr w:type="spellStart"/>
      <w:r w:rsidRPr="001A4DF7">
        <w:rPr>
          <w:rFonts w:ascii="Times New Roman" w:hAnsi="Times New Roman" w:cs="Times New Roman"/>
          <w:sz w:val="24"/>
          <w:szCs w:val="24"/>
        </w:rPr>
        <w:t>politicise</w:t>
      </w:r>
      <w:proofErr w:type="spellEnd"/>
      <w:r w:rsidRPr="001A4DF7">
        <w:rPr>
          <w:rFonts w:ascii="Times New Roman" w:hAnsi="Times New Roman" w:cs="Times New Roman"/>
          <w:sz w:val="24"/>
          <w:szCs w:val="24"/>
        </w:rPr>
        <w:t xml:space="preserve"> legal expertise and argument: the law is political.</w:t>
      </w:r>
      <w:r w:rsidRPr="001A4DF7">
        <w:rPr>
          <w:rStyle w:val="EndnoteReference"/>
          <w:rFonts w:ascii="Times New Roman" w:hAnsi="Times New Roman" w:cs="Times New Roman"/>
          <w:sz w:val="24"/>
          <w:szCs w:val="24"/>
        </w:rPr>
        <w:endnoteReference w:id="122"/>
      </w:r>
      <w:r w:rsidRPr="001A4DF7">
        <w:rPr>
          <w:rFonts w:ascii="Times New Roman" w:hAnsi="Times New Roman" w:cs="Times New Roman"/>
          <w:sz w:val="24"/>
          <w:szCs w:val="24"/>
        </w:rPr>
        <w:t xml:space="preserve"> And, as this article shows, during Obama’s drone wars, foreign policy discourse and international legal justifications have been fully interwoven; their imbrication enabling the political possibility of drone strikes, by rendering war at the margins as conceivable, resonant, and legitimate, on the basis of apparent legality notwithstanding questionable morality.</w:t>
      </w:r>
    </w:p>
    <w:p w14:paraId="1FBA84AA" w14:textId="77777777" w:rsidR="000408BB" w:rsidRPr="001A4DF7" w:rsidRDefault="000408BB" w:rsidP="000408BB">
      <w:pPr>
        <w:spacing w:after="0" w:line="480" w:lineRule="auto"/>
        <w:ind w:firstLine="720"/>
        <w:rPr>
          <w:rFonts w:ascii="Times New Roman" w:hAnsi="Times New Roman" w:cs="Times New Roman"/>
          <w:sz w:val="24"/>
          <w:szCs w:val="24"/>
        </w:rPr>
      </w:pPr>
      <w:r w:rsidRPr="001A4DF7">
        <w:rPr>
          <w:rFonts w:ascii="Times New Roman" w:hAnsi="Times New Roman" w:cs="Times New Roman"/>
          <w:sz w:val="24"/>
          <w:szCs w:val="24"/>
        </w:rPr>
        <w:t xml:space="preserve">By invoking international law in defense of their actions, US officials create a reality based on their interests. The law then is molded to this reality. In other words, it is the law that bends to the actions and justifications of the US rather than the US limiting its actions to those which comply with international law. As B.S. </w:t>
      </w:r>
      <w:proofErr w:type="spellStart"/>
      <w:r w:rsidRPr="001A4DF7">
        <w:rPr>
          <w:rFonts w:ascii="Times New Roman" w:hAnsi="Times New Roman" w:cs="Times New Roman"/>
          <w:sz w:val="24"/>
          <w:szCs w:val="24"/>
        </w:rPr>
        <w:t>Chimni</w:t>
      </w:r>
      <w:proofErr w:type="spellEnd"/>
      <w:r w:rsidRPr="001A4DF7">
        <w:rPr>
          <w:rFonts w:ascii="Times New Roman" w:hAnsi="Times New Roman" w:cs="Times New Roman"/>
          <w:sz w:val="24"/>
          <w:szCs w:val="24"/>
        </w:rPr>
        <w:t xml:space="preserve"> concludes, the doctrine of CIL was a “western construct, its rules came to be derived from western state practice on which the dominant positivist method placed great stress. Even today the lack of the ready availability of state practice in the instance of postcolonial states means that western states carry the day.”</w:t>
      </w:r>
      <w:r w:rsidRPr="001A4DF7">
        <w:rPr>
          <w:rStyle w:val="EndnoteReference"/>
          <w:rFonts w:ascii="Times New Roman" w:hAnsi="Times New Roman" w:cs="Times New Roman"/>
          <w:sz w:val="24"/>
          <w:szCs w:val="24"/>
        </w:rPr>
        <w:endnoteReference w:id="123"/>
      </w:r>
      <w:r w:rsidRPr="001A4DF7">
        <w:rPr>
          <w:rFonts w:ascii="Times New Roman" w:hAnsi="Times New Roman" w:cs="Times New Roman"/>
          <w:sz w:val="24"/>
          <w:szCs w:val="24"/>
        </w:rPr>
        <w:t xml:space="preserve"> </w:t>
      </w:r>
      <w:r w:rsidRPr="001A4DF7">
        <w:rPr>
          <w:rFonts w:ascii="Times New Roman" w:hAnsi="Times New Roman" w:cs="Times New Roman"/>
          <w:sz w:val="24"/>
          <w:szCs w:val="24"/>
        </w:rPr>
        <w:lastRenderedPageBreak/>
        <w:t>Thus, states like the US determine how existing law is to be interpreted, even when the favored interpretation conflicts with previous interpretations, and create new law where even radical reinterpretation cannot make legitimate the actions of these states. Susan Marks’ analysis of the Bush administration’s exploitation of international law to justify their torture program is equally relevant to the Obama administration’s killing program: “United States officials are busily engaged in their own hyper-technical interpretations</w:t>
      </w:r>
      <w:r>
        <w:rPr>
          <w:rFonts w:ascii="Times New Roman" w:hAnsi="Times New Roman" w:cs="Times New Roman"/>
          <w:sz w:val="24"/>
          <w:szCs w:val="24"/>
        </w:rPr>
        <w:t xml:space="preserve"> […] </w:t>
      </w:r>
      <w:r w:rsidRPr="001A4DF7">
        <w:rPr>
          <w:rFonts w:ascii="Times New Roman" w:hAnsi="Times New Roman" w:cs="Times New Roman"/>
          <w:sz w:val="24"/>
          <w:szCs w:val="24"/>
        </w:rPr>
        <w:t>Sometimes indeterminacy is their line; sometimes determinacy. Either way, international law is part of the strategic plan.”</w:t>
      </w:r>
      <w:r w:rsidRPr="001A4DF7">
        <w:rPr>
          <w:rStyle w:val="EndnoteReference"/>
          <w:rFonts w:ascii="Times New Roman" w:hAnsi="Times New Roman" w:cs="Times New Roman"/>
          <w:sz w:val="24"/>
          <w:szCs w:val="24"/>
        </w:rPr>
        <w:endnoteReference w:id="124"/>
      </w:r>
      <w:r w:rsidRPr="001A4DF7">
        <w:rPr>
          <w:rFonts w:ascii="Times New Roman" w:hAnsi="Times New Roman" w:cs="Times New Roman"/>
          <w:sz w:val="24"/>
          <w:szCs w:val="24"/>
        </w:rPr>
        <w:t xml:space="preserve"> And international law, according to China </w:t>
      </w:r>
      <w:proofErr w:type="spellStart"/>
      <w:r w:rsidRPr="001A4DF7">
        <w:rPr>
          <w:rFonts w:ascii="Times New Roman" w:hAnsi="Times New Roman" w:cs="Times New Roman"/>
          <w:sz w:val="24"/>
          <w:szCs w:val="24"/>
        </w:rPr>
        <w:t>Miéville</w:t>
      </w:r>
      <w:proofErr w:type="spellEnd"/>
      <w:r w:rsidRPr="001A4DF7">
        <w:rPr>
          <w:rFonts w:ascii="Times New Roman" w:hAnsi="Times New Roman" w:cs="Times New Roman"/>
          <w:sz w:val="24"/>
          <w:szCs w:val="24"/>
        </w:rPr>
        <w:t>, “is made actual in the modern international system” by “coercive political violence.”</w:t>
      </w:r>
      <w:r w:rsidRPr="001A4DF7">
        <w:rPr>
          <w:rStyle w:val="EndnoteReference"/>
          <w:rFonts w:ascii="Times New Roman" w:hAnsi="Times New Roman" w:cs="Times New Roman"/>
          <w:sz w:val="24"/>
          <w:szCs w:val="24"/>
        </w:rPr>
        <w:endnoteReference w:id="125"/>
      </w:r>
      <w:r w:rsidRPr="001A4DF7">
        <w:rPr>
          <w:rFonts w:ascii="Times New Roman" w:hAnsi="Times New Roman" w:cs="Times New Roman"/>
          <w:sz w:val="24"/>
          <w:szCs w:val="24"/>
        </w:rPr>
        <w:t xml:space="preserve"> </w:t>
      </w:r>
    </w:p>
    <w:p w14:paraId="609D01F1" w14:textId="1739F6E1" w:rsidR="000408BB" w:rsidRDefault="000408BB" w:rsidP="000408BB">
      <w:pPr>
        <w:spacing w:after="0" w:line="480" w:lineRule="auto"/>
        <w:rPr>
          <w:rFonts w:ascii="Times New Roman" w:hAnsi="Times New Roman" w:cs="Times New Roman"/>
          <w:b/>
          <w:sz w:val="24"/>
          <w:szCs w:val="24"/>
        </w:rPr>
      </w:pPr>
    </w:p>
    <w:p w14:paraId="727AD78D" w14:textId="77777777" w:rsidR="00065D55" w:rsidRDefault="00065D55" w:rsidP="00065D55">
      <w:pPr>
        <w:spacing w:after="0" w:line="480" w:lineRule="auto"/>
        <w:rPr>
          <w:rFonts w:ascii="Times New Roman" w:hAnsi="Times New Roman" w:cs="Times New Roman"/>
          <w:b/>
          <w:sz w:val="24"/>
          <w:szCs w:val="24"/>
        </w:rPr>
      </w:pPr>
      <w:r w:rsidRPr="001A4DF7">
        <w:rPr>
          <w:rFonts w:ascii="Times New Roman" w:hAnsi="Times New Roman" w:cs="Times New Roman"/>
          <w:b/>
          <w:sz w:val="24"/>
          <w:szCs w:val="24"/>
        </w:rPr>
        <w:t>Conclusion</w:t>
      </w:r>
    </w:p>
    <w:p w14:paraId="6DAC3574" w14:textId="77777777" w:rsidR="00065D55" w:rsidRDefault="00065D55" w:rsidP="00065D55">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Obama promised ‘change we can believe in’. In foreign policy, however, change facilitated not only continuity but a ramping up of those policies that were frequently most vociferously denounced by his supporters. This change as continuity required first a rewriting of international law to permit the widespread and systematic use of lethal military force against ‘suspected terrorists’ and ‘terrorist suspects’ in areas populated by civilians, far away from the battlefield. In this instance, change also took the form of rhetorical innovation, as the administration strategically opted to dehumanize America’s enemies in a language more palatable for liberal audiences. This language of processual thoroughness, bureaucratic oversight, and hyper-technologized accuracy reduced those suspected of wrongdoing to something less than fully human; a form of </w:t>
      </w:r>
      <w:proofErr w:type="spellStart"/>
      <w:r>
        <w:rPr>
          <w:rFonts w:ascii="Times New Roman" w:hAnsi="Times New Roman" w:cs="Times New Roman"/>
          <w:sz w:val="24"/>
          <w:szCs w:val="24"/>
        </w:rPr>
        <w:t>Agambian</w:t>
      </w:r>
      <w:proofErr w:type="spellEnd"/>
      <w:r>
        <w:rPr>
          <w:rFonts w:ascii="Times New Roman" w:hAnsi="Times New Roman" w:cs="Times New Roman"/>
          <w:sz w:val="24"/>
          <w:szCs w:val="24"/>
        </w:rPr>
        <w:t xml:space="preserve"> bare life, in a zone of murky grey jurisprudences, that can be killed. And they were killed, in numbers that dwarfed those of the previous administration, despite the </w:t>
      </w:r>
      <w:r>
        <w:rPr>
          <w:rFonts w:ascii="Times New Roman" w:hAnsi="Times New Roman" w:cs="Times New Roman"/>
          <w:sz w:val="24"/>
          <w:szCs w:val="24"/>
        </w:rPr>
        <w:lastRenderedPageBreak/>
        <w:t xml:space="preserve">obvious brutality of a language designed to explicitly reduce enemies to animals. The lethality of the liberal western way of war is significant. </w:t>
      </w:r>
    </w:p>
    <w:p w14:paraId="028B9F73" w14:textId="77777777" w:rsidR="00065D55" w:rsidRDefault="00065D55" w:rsidP="00065D55">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As we have hinted at, lethal sterility is not entirely new, having been on display during the first Gulf War, as heightened American superiority was on full televisual display. We note, therefore, then as now, the link between technological and linguistic innovation, as enhanced capabilities are met with technologized and mechanistic rhetoric. At this point of intersection, we see the nexus of the co-productivity of material and textual elements of discourse. This article’s findings therefore link with those researching the effects of drone technology itself, which served to produce the target in ways cogent with the sterile language of the Obama administration. </w:t>
      </w:r>
    </w:p>
    <w:p w14:paraId="4170BF71" w14:textId="77777777" w:rsidR="00065D55" w:rsidRPr="001A43F2" w:rsidRDefault="00065D55" w:rsidP="00065D55">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Finally, we note the importance of remaining critical and vigilant. While perhaps easier in an era of MOAB and inflammatory hyperbole, that era will inevitably come to an end. This article has shown how the return of more palatable and diplomatic language might be used to facilitate the development of very troubling foreign policy. </w:t>
      </w:r>
    </w:p>
    <w:p w14:paraId="25C0DA13" w14:textId="77777777" w:rsidR="00065D55" w:rsidRPr="00DD6C27" w:rsidRDefault="00065D55" w:rsidP="000408BB">
      <w:pPr>
        <w:spacing w:after="0" w:line="480" w:lineRule="auto"/>
        <w:rPr>
          <w:rFonts w:ascii="Times New Roman" w:hAnsi="Times New Roman" w:cs="Times New Roman"/>
          <w:b/>
          <w:sz w:val="24"/>
          <w:szCs w:val="24"/>
        </w:rPr>
      </w:pPr>
    </w:p>
    <w:sectPr w:rsidR="00065D55" w:rsidRPr="00DD6C27">
      <w:footerReference w:type="default" r:id="rId8"/>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BF0FCF" w14:textId="77777777" w:rsidR="006E03BD" w:rsidRDefault="006E03BD" w:rsidP="00A30A98">
      <w:pPr>
        <w:spacing w:after="0" w:line="240" w:lineRule="auto"/>
      </w:pPr>
      <w:r>
        <w:separator/>
      </w:r>
    </w:p>
  </w:endnote>
  <w:endnote w:type="continuationSeparator" w:id="0">
    <w:p w14:paraId="5A0EFF42" w14:textId="77777777" w:rsidR="006E03BD" w:rsidRDefault="006E03BD" w:rsidP="00A30A98">
      <w:pPr>
        <w:spacing w:after="0" w:line="240" w:lineRule="auto"/>
      </w:pPr>
      <w:r>
        <w:continuationSeparator/>
      </w:r>
    </w:p>
  </w:endnote>
  <w:endnote w:id="1">
    <w:p w14:paraId="6076BDF5" w14:textId="77777777" w:rsidR="00321909" w:rsidRPr="00A57988" w:rsidRDefault="00321909" w:rsidP="00321909">
      <w:pPr>
        <w:pStyle w:val="EndnoteText"/>
      </w:pPr>
      <w:r w:rsidRPr="00A57988">
        <w:rPr>
          <w:rStyle w:val="EndnoteReference"/>
        </w:rPr>
        <w:endnoteRef/>
      </w:r>
      <w:r w:rsidRPr="00A57988">
        <w:t xml:space="preserve"> Philip </w:t>
      </w:r>
      <w:r w:rsidRPr="00A57988">
        <w:rPr>
          <w:color w:val="000000" w:themeColor="text1"/>
        </w:rPr>
        <w:t xml:space="preserve">Alston, ‘Study on Targeted Killings’, </w:t>
      </w:r>
      <w:r w:rsidRPr="00A57988">
        <w:rPr>
          <w:i/>
          <w:color w:val="000000" w:themeColor="text1"/>
        </w:rPr>
        <w:t>United Nations General Assembly</w:t>
      </w:r>
      <w:r w:rsidRPr="00A57988">
        <w:rPr>
          <w:color w:val="000000" w:themeColor="text1"/>
        </w:rPr>
        <w:t>, May</w:t>
      </w:r>
      <w:r>
        <w:rPr>
          <w:color w:val="000000" w:themeColor="text1"/>
        </w:rPr>
        <w:t xml:space="preserve"> 28,</w:t>
      </w:r>
      <w:r w:rsidRPr="00A57988">
        <w:rPr>
          <w:color w:val="000000" w:themeColor="text1"/>
        </w:rPr>
        <w:t xml:space="preserve"> 2010</w:t>
      </w:r>
      <w:r>
        <w:rPr>
          <w:color w:val="000000" w:themeColor="text1"/>
        </w:rPr>
        <w:t xml:space="preserve">, </w:t>
      </w:r>
      <w:r w:rsidRPr="00A57988">
        <w:rPr>
          <w:color w:val="000000" w:themeColor="text1"/>
        </w:rPr>
        <w:t>www2.ohchr.org/english/bodies/hrcouncil/docs/14session/A.HRC.14.24.Add6.pdf</w:t>
      </w:r>
      <w:r>
        <w:rPr>
          <w:color w:val="000000" w:themeColor="text1"/>
        </w:rPr>
        <w:t xml:space="preserve"> (accessed January 10, 2016).</w:t>
      </w:r>
    </w:p>
  </w:endnote>
  <w:endnote w:id="2">
    <w:p w14:paraId="466241C9" w14:textId="77777777" w:rsidR="00321909" w:rsidRPr="00A57988" w:rsidRDefault="00321909" w:rsidP="00321909">
      <w:pPr>
        <w:pStyle w:val="EndnoteText"/>
      </w:pPr>
      <w:r w:rsidRPr="00A57988">
        <w:rPr>
          <w:rStyle w:val="EndnoteReference"/>
        </w:rPr>
        <w:endnoteRef/>
      </w:r>
      <w:r w:rsidRPr="00A57988">
        <w:t xml:space="preserve"> Ibid.</w:t>
      </w:r>
    </w:p>
  </w:endnote>
  <w:endnote w:id="3">
    <w:p w14:paraId="4282976F" w14:textId="77777777" w:rsidR="00321909" w:rsidRPr="00A57988" w:rsidRDefault="00321909" w:rsidP="00321909">
      <w:pPr>
        <w:pStyle w:val="EndnoteText"/>
      </w:pPr>
      <w:r w:rsidRPr="00A57988">
        <w:rPr>
          <w:rStyle w:val="EndnoteReference"/>
        </w:rPr>
        <w:endnoteRef/>
      </w:r>
      <w:r w:rsidRPr="00A57988">
        <w:t xml:space="preserve"> Chris </w:t>
      </w:r>
      <w:r w:rsidRPr="00A57988">
        <w:rPr>
          <w:color w:val="000000" w:themeColor="text1"/>
        </w:rPr>
        <w:t>Woods, ‘</w:t>
      </w:r>
      <w:r w:rsidRPr="00A57988">
        <w:rPr>
          <w:color w:val="000000"/>
        </w:rPr>
        <w:t>The Story of America's Very First Drone Strike’, The Atlanti</w:t>
      </w:r>
      <w:r>
        <w:rPr>
          <w:color w:val="000000"/>
        </w:rPr>
        <w:t xml:space="preserve">c, May 30, 2015, </w:t>
      </w:r>
      <w:r w:rsidRPr="000B622E">
        <w:rPr>
          <w:color w:val="000000"/>
        </w:rPr>
        <w:t>https://www.theatlantic.com/international/archive/2015/05/america-first-drone-strike-afghanistan/394463/</w:t>
      </w:r>
      <w:r>
        <w:rPr>
          <w:color w:val="000000"/>
        </w:rPr>
        <w:t xml:space="preserve"> (accessed May 15, 2016). </w:t>
      </w:r>
    </w:p>
  </w:endnote>
  <w:endnote w:id="4">
    <w:p w14:paraId="26F847E1" w14:textId="77777777" w:rsidR="00321909" w:rsidRPr="00A57988" w:rsidRDefault="00321909" w:rsidP="00321909">
      <w:pPr>
        <w:pStyle w:val="EndnoteText"/>
      </w:pPr>
      <w:r w:rsidRPr="00A57988">
        <w:rPr>
          <w:rStyle w:val="EndnoteReference"/>
        </w:rPr>
        <w:endnoteRef/>
      </w:r>
      <w:r w:rsidRPr="00A57988">
        <w:t xml:space="preserve"> ‘Get the Data: Drone Wars’, </w:t>
      </w:r>
      <w:r w:rsidRPr="00A57988">
        <w:rPr>
          <w:i/>
        </w:rPr>
        <w:t>The Bureau of Investigative Journalism</w:t>
      </w:r>
      <w:r>
        <w:t xml:space="preserve">, </w:t>
      </w:r>
      <w:r w:rsidRPr="000B622E">
        <w:t>https://www.thebureauinvestigates.com/category/projects/drones/drones-graphs/</w:t>
      </w:r>
      <w:r>
        <w:t xml:space="preserve"> (accessed January 15, 2017).</w:t>
      </w:r>
    </w:p>
  </w:endnote>
  <w:endnote w:id="5">
    <w:p w14:paraId="1DEA5251" w14:textId="77777777" w:rsidR="00321909" w:rsidRPr="00237D84" w:rsidRDefault="00321909" w:rsidP="00321909">
      <w:pPr>
        <w:pStyle w:val="EndnoteText"/>
        <w:rPr>
          <w:color w:val="000000" w:themeColor="text1"/>
        </w:rPr>
      </w:pPr>
      <w:r w:rsidRPr="00A57988">
        <w:rPr>
          <w:rStyle w:val="EndnoteReference"/>
        </w:rPr>
        <w:endnoteRef/>
      </w:r>
      <w:r w:rsidRPr="00A57988">
        <w:t xml:space="preserve"> Asma </w:t>
      </w:r>
      <w:r w:rsidRPr="00A57988">
        <w:rPr>
          <w:color w:val="000000" w:themeColor="text1"/>
        </w:rPr>
        <w:t>Jahangir, ‘Report of the Special Rapporteur’,</w:t>
      </w:r>
      <w:r>
        <w:rPr>
          <w:color w:val="000000" w:themeColor="text1"/>
        </w:rPr>
        <w:t xml:space="preserve"> January 13, 2003, </w:t>
      </w:r>
      <w:r w:rsidRPr="00237D84">
        <w:rPr>
          <w:color w:val="000000" w:themeColor="text1"/>
        </w:rPr>
        <w:t>https://digitallibrary.un.org/record/487674/files/E_CN-4_2003_3-EN.pdf</w:t>
      </w:r>
      <w:r>
        <w:rPr>
          <w:color w:val="000000" w:themeColor="text1"/>
        </w:rPr>
        <w:t xml:space="preserve"> (accessed September 1, 2018).</w:t>
      </w:r>
    </w:p>
  </w:endnote>
  <w:endnote w:id="6">
    <w:p w14:paraId="1329AECD" w14:textId="0956B8C1" w:rsidR="00E7700F" w:rsidRDefault="00E7700F">
      <w:pPr>
        <w:pStyle w:val="EndnoteText"/>
      </w:pPr>
      <w:r>
        <w:rPr>
          <w:rStyle w:val="EndnoteReference"/>
        </w:rPr>
        <w:endnoteRef/>
      </w:r>
      <w:r>
        <w:t xml:space="preserve"> Jack Holland, ‘Obama as modern Jeffersonian’, in </w:t>
      </w:r>
      <w:r w:rsidRPr="00A57988">
        <w:t>in Michelle Bentley and Jack Holland (</w:t>
      </w:r>
      <w:proofErr w:type="spellStart"/>
      <w:r w:rsidRPr="00A57988">
        <w:t>eds</w:t>
      </w:r>
      <w:proofErr w:type="spellEnd"/>
      <w:r w:rsidRPr="00A57988">
        <w:t>), The Obama Doctrine (London: Routledge, 2016)</w:t>
      </w:r>
      <w:r>
        <w:t>.</w:t>
      </w:r>
    </w:p>
  </w:endnote>
  <w:endnote w:id="7">
    <w:p w14:paraId="41649D28" w14:textId="77777777" w:rsidR="00321909" w:rsidRPr="00A57988" w:rsidRDefault="00321909" w:rsidP="00321909">
      <w:pPr>
        <w:pStyle w:val="EndnoteText"/>
      </w:pPr>
      <w:r w:rsidRPr="00A57988">
        <w:rPr>
          <w:rStyle w:val="EndnoteReference"/>
        </w:rPr>
        <w:endnoteRef/>
      </w:r>
      <w:r w:rsidRPr="00A57988">
        <w:t xml:space="preserve"> Christopher Fuller, ‘The Assassin in Chief: Obama’s Drone Legacy’, in Michelle Bentley and Jack Holland (</w:t>
      </w:r>
      <w:proofErr w:type="spellStart"/>
      <w:r w:rsidRPr="00A57988">
        <w:t>eds</w:t>
      </w:r>
      <w:proofErr w:type="spellEnd"/>
      <w:r w:rsidRPr="00A57988">
        <w:t>), The Obama Doctrine (London: Routledge, 2016), 131.</w:t>
      </w:r>
    </w:p>
  </w:endnote>
  <w:endnote w:id="8">
    <w:p w14:paraId="4BEDD60E" w14:textId="77777777" w:rsidR="00321909" w:rsidRPr="00A57988" w:rsidRDefault="00321909" w:rsidP="00321909">
      <w:pPr>
        <w:pStyle w:val="EndnoteText"/>
      </w:pPr>
      <w:r w:rsidRPr="00A57988">
        <w:rPr>
          <w:rStyle w:val="EndnoteReference"/>
        </w:rPr>
        <w:endnoteRef/>
      </w:r>
      <w:r w:rsidRPr="00A57988">
        <w:t xml:space="preserve"> ‘Get the Data’.</w:t>
      </w:r>
    </w:p>
  </w:endnote>
  <w:endnote w:id="9">
    <w:p w14:paraId="7E39BEB5" w14:textId="77777777" w:rsidR="00321909" w:rsidRPr="00A57988" w:rsidRDefault="00321909" w:rsidP="00321909">
      <w:pPr>
        <w:pStyle w:val="EndnoteText"/>
      </w:pPr>
      <w:r w:rsidRPr="00A57988">
        <w:rPr>
          <w:rStyle w:val="EndnoteReference"/>
        </w:rPr>
        <w:endnoteRef/>
      </w:r>
      <w:r w:rsidRPr="00A57988">
        <w:t xml:space="preserve"> Ibid.</w:t>
      </w:r>
    </w:p>
  </w:endnote>
  <w:endnote w:id="10">
    <w:p w14:paraId="08562DFA" w14:textId="77777777" w:rsidR="00321909" w:rsidRPr="00A57988" w:rsidRDefault="00321909" w:rsidP="00321909">
      <w:pPr>
        <w:pStyle w:val="EndnoteText"/>
      </w:pPr>
      <w:r w:rsidRPr="00A57988">
        <w:rPr>
          <w:rStyle w:val="EndnoteReference"/>
        </w:rPr>
        <w:endnoteRef/>
      </w:r>
      <w:r w:rsidRPr="00A57988">
        <w:t xml:space="preserve"> </w:t>
      </w:r>
      <w:r w:rsidRPr="00A57988">
        <w:rPr>
          <w:color w:val="000000" w:themeColor="text1"/>
        </w:rPr>
        <w:t>Alston, ‘Study on Targeted Killings’.</w:t>
      </w:r>
    </w:p>
  </w:endnote>
  <w:endnote w:id="11">
    <w:p w14:paraId="6D2E8BFC" w14:textId="77777777" w:rsidR="00321909" w:rsidRPr="00A57988" w:rsidRDefault="00321909" w:rsidP="00321909">
      <w:pPr>
        <w:pStyle w:val="EndnoteText"/>
      </w:pPr>
      <w:r w:rsidRPr="00A57988">
        <w:rPr>
          <w:rStyle w:val="EndnoteReference"/>
        </w:rPr>
        <w:endnoteRef/>
      </w:r>
      <w:r w:rsidRPr="00A57988">
        <w:t xml:space="preserve"> Mary Ellen </w:t>
      </w:r>
      <w:r w:rsidRPr="00A57988">
        <w:rPr>
          <w:color w:val="000000" w:themeColor="text1"/>
        </w:rPr>
        <w:t xml:space="preserve">O’Connell, ‘Lawful Use of Combat Drones’, </w:t>
      </w:r>
      <w:r w:rsidRPr="00A57988">
        <w:rPr>
          <w:i/>
          <w:color w:val="000000" w:themeColor="text1"/>
        </w:rPr>
        <w:t>US Congress</w:t>
      </w:r>
      <w:r w:rsidRPr="00A57988">
        <w:rPr>
          <w:color w:val="000000" w:themeColor="text1"/>
        </w:rPr>
        <w:t xml:space="preserve">, April </w:t>
      </w:r>
      <w:r>
        <w:rPr>
          <w:color w:val="000000" w:themeColor="text1"/>
        </w:rPr>
        <w:t xml:space="preserve">28, </w:t>
      </w:r>
      <w:r w:rsidRPr="00A57988">
        <w:rPr>
          <w:color w:val="000000" w:themeColor="text1"/>
        </w:rPr>
        <w:t>2010</w:t>
      </w:r>
      <w:r>
        <w:rPr>
          <w:color w:val="000000" w:themeColor="text1"/>
        </w:rPr>
        <w:t xml:space="preserve">, </w:t>
      </w:r>
      <w:r w:rsidRPr="00307B1D">
        <w:rPr>
          <w:color w:val="000000" w:themeColor="text1"/>
        </w:rPr>
        <w:t>https://fas.org/irp/congress/2010_hr/042810oconnell.pdf</w:t>
      </w:r>
      <w:r>
        <w:rPr>
          <w:color w:val="000000" w:themeColor="text1"/>
        </w:rPr>
        <w:t xml:space="preserve"> (accessed June 17, 2017).</w:t>
      </w:r>
    </w:p>
  </w:endnote>
  <w:endnote w:id="12">
    <w:p w14:paraId="2DBD3D48" w14:textId="77777777" w:rsidR="00321909" w:rsidRPr="00A57988" w:rsidRDefault="00321909" w:rsidP="00321909">
      <w:pPr>
        <w:pStyle w:val="EndnoteText"/>
      </w:pPr>
      <w:r w:rsidRPr="00A57988">
        <w:rPr>
          <w:rStyle w:val="EndnoteReference"/>
        </w:rPr>
        <w:endnoteRef/>
      </w:r>
      <w:r w:rsidRPr="00A57988">
        <w:t xml:space="preserve"> See Jeffrey Bachman, ‘</w:t>
      </w:r>
      <w:r w:rsidRPr="00A57988">
        <w:rPr>
          <w:shd w:val="clear" w:color="auto" w:fill="FFFFFF"/>
        </w:rPr>
        <w:t xml:space="preserve">The Lawfulness of Targeted Killing Operations Outside Afghanistan’, </w:t>
      </w:r>
      <w:r w:rsidRPr="00A57988">
        <w:rPr>
          <w:i/>
          <w:shd w:val="clear" w:color="auto" w:fill="FFFFFF"/>
        </w:rPr>
        <w:t>Studies in Conflict &amp; Terrorism</w:t>
      </w:r>
      <w:r w:rsidRPr="00A57988">
        <w:rPr>
          <w:shd w:val="clear" w:color="auto" w:fill="FFFFFF"/>
        </w:rPr>
        <w:t xml:space="preserve"> 38, no. 11 (2015): 899-918.</w:t>
      </w:r>
    </w:p>
  </w:endnote>
  <w:endnote w:id="13">
    <w:p w14:paraId="4FE4BB03" w14:textId="77777777" w:rsidR="00321909" w:rsidRPr="001A43F2" w:rsidRDefault="00321909" w:rsidP="00321909">
      <w:pPr>
        <w:pStyle w:val="EndnoteText"/>
      </w:pPr>
      <w:r>
        <w:rPr>
          <w:rStyle w:val="EndnoteReference"/>
        </w:rPr>
        <w:endnoteRef/>
      </w:r>
      <w:r>
        <w:t xml:space="preserve"> </w:t>
      </w:r>
      <w:r w:rsidRPr="00A57988">
        <w:t xml:space="preserve">Chris Woods and Christina Lamb, ‘CIA Tactics in Pakistan Include Targeting Rescuers and Funerals’, </w:t>
      </w:r>
      <w:r w:rsidRPr="00A57988">
        <w:rPr>
          <w:i/>
        </w:rPr>
        <w:t>The Bureau of Investigative Journalism</w:t>
      </w:r>
      <w:r w:rsidRPr="00A57988">
        <w:t xml:space="preserve">, February </w:t>
      </w:r>
      <w:r>
        <w:t xml:space="preserve">4, </w:t>
      </w:r>
      <w:r w:rsidRPr="00A57988">
        <w:t>2012</w:t>
      </w:r>
      <w:r>
        <w:t xml:space="preserve">, </w:t>
      </w:r>
      <w:r w:rsidRPr="00A57988">
        <w:t>https://www. thebureauinvestigates.com/2012/02/04/obama-terror-drones-cia-tactics-in-pakistaninclude-targeting-rescuers-and-funerals/</w:t>
      </w:r>
      <w:r>
        <w:t xml:space="preserve"> (accessed June 15, 2017); see</w:t>
      </w:r>
      <w:r w:rsidRPr="00A57988">
        <w:t xml:space="preserve"> Christof </w:t>
      </w:r>
      <w:proofErr w:type="spellStart"/>
      <w:r w:rsidRPr="00A57988">
        <w:t>Heyns</w:t>
      </w:r>
      <w:proofErr w:type="spellEnd"/>
      <w:r w:rsidRPr="00A57988">
        <w:t>, ‘Report of the Special Rapporteur on Extrajudicial, Summary or Arbitrary Executions’, United Nations,</w:t>
      </w:r>
      <w:r>
        <w:t xml:space="preserve"> </w:t>
      </w:r>
      <w:r w:rsidRPr="00A57988">
        <w:t xml:space="preserve">September </w:t>
      </w:r>
      <w:r>
        <w:t xml:space="preserve">13, </w:t>
      </w:r>
      <w:r w:rsidRPr="00A57988">
        <w:t>2013</w:t>
      </w:r>
      <w:r>
        <w:t xml:space="preserve">; </w:t>
      </w:r>
      <w:r w:rsidRPr="00A57988">
        <w:t>Amnesty International, ‘Will I be Next: US Drone Strikes in Pakistan’ (2013), 44</w:t>
      </w:r>
      <w:r>
        <w:t xml:space="preserve">; </w:t>
      </w:r>
      <w:r w:rsidRPr="00A57988">
        <w:t>Human Rights Watch, “Between a Drone and Al-Qaeda’: The Civilian Cost of US Targeted Killings in Yemen’, (2013), 1</w:t>
      </w:r>
      <w:r>
        <w:t>.</w:t>
      </w:r>
    </w:p>
  </w:endnote>
  <w:endnote w:id="14">
    <w:p w14:paraId="5DA735AD" w14:textId="77777777" w:rsidR="005927C0" w:rsidRPr="00A57988" w:rsidRDefault="005927C0" w:rsidP="005927C0">
      <w:pPr>
        <w:pStyle w:val="EndnoteText"/>
      </w:pPr>
      <w:r w:rsidRPr="00A57988">
        <w:rPr>
          <w:rStyle w:val="EndnoteReference"/>
        </w:rPr>
        <w:endnoteRef/>
      </w:r>
      <w:r w:rsidRPr="00A57988">
        <w:t xml:space="preserve"> Norman </w:t>
      </w:r>
      <w:r w:rsidRPr="00A57988">
        <w:rPr>
          <w:color w:val="000000" w:themeColor="text1"/>
          <w:shd w:val="clear" w:color="auto" w:fill="FFFFFF"/>
        </w:rPr>
        <w:t xml:space="preserve">Fairclough, </w:t>
      </w:r>
      <w:proofErr w:type="spellStart"/>
      <w:r w:rsidRPr="00A57988">
        <w:rPr>
          <w:i/>
          <w:iCs/>
          <w:color w:val="000000" w:themeColor="text1"/>
        </w:rPr>
        <w:t>Analyzing</w:t>
      </w:r>
      <w:proofErr w:type="spellEnd"/>
      <w:r w:rsidRPr="00A57988">
        <w:rPr>
          <w:i/>
          <w:iCs/>
          <w:color w:val="000000" w:themeColor="text1"/>
        </w:rPr>
        <w:t xml:space="preserve"> Discourse: Textual Analysis for Social Research</w:t>
      </w:r>
      <w:r w:rsidRPr="00A57988">
        <w:rPr>
          <w:iCs/>
          <w:color w:val="000000" w:themeColor="text1"/>
        </w:rPr>
        <w:t xml:space="preserve"> </w:t>
      </w:r>
      <w:r w:rsidRPr="00A57988">
        <w:rPr>
          <w:color w:val="000000" w:themeColor="text1"/>
          <w:shd w:val="clear" w:color="auto" w:fill="FFFFFF"/>
        </w:rPr>
        <w:t>(London: Routledge, 2003), 2</w:t>
      </w:r>
      <w:r w:rsidRPr="00A57988">
        <w:t>, 5.</w:t>
      </w:r>
    </w:p>
  </w:endnote>
  <w:endnote w:id="15">
    <w:p w14:paraId="72C30690" w14:textId="77777777" w:rsidR="005927C0" w:rsidRPr="00A57988" w:rsidRDefault="005927C0" w:rsidP="005927C0">
      <w:pPr>
        <w:pStyle w:val="EndnoteText"/>
      </w:pPr>
      <w:r w:rsidRPr="00A57988">
        <w:rPr>
          <w:rStyle w:val="EndnoteReference"/>
        </w:rPr>
        <w:endnoteRef/>
      </w:r>
      <w:r w:rsidRPr="00A57988">
        <w:t xml:space="preserve"> Norman Fairclough, </w:t>
      </w:r>
      <w:r w:rsidRPr="00A57988">
        <w:rPr>
          <w:color w:val="000000" w:themeColor="text1"/>
          <w:shd w:val="clear" w:color="auto" w:fill="FFFFFF"/>
        </w:rPr>
        <w:t xml:space="preserve">‘Critical Discourse Analysis as a Method in Social Scientific Research’, </w:t>
      </w:r>
      <w:r w:rsidRPr="00A57988">
        <w:rPr>
          <w:i/>
          <w:iCs/>
          <w:color w:val="000000" w:themeColor="text1"/>
        </w:rPr>
        <w:t>Methods of Critical Discourse Analysis</w:t>
      </w:r>
      <w:r w:rsidRPr="00A57988">
        <w:rPr>
          <w:color w:val="000000" w:themeColor="text1"/>
          <w:shd w:val="clear" w:color="auto" w:fill="FFFFFF"/>
        </w:rPr>
        <w:t> 5 (2001): 121-138.</w:t>
      </w:r>
    </w:p>
  </w:endnote>
  <w:endnote w:id="16">
    <w:p w14:paraId="3EDFAA03" w14:textId="77777777" w:rsidR="005927C0" w:rsidRPr="00A57988" w:rsidRDefault="005927C0" w:rsidP="005927C0">
      <w:pPr>
        <w:pStyle w:val="EndnoteText"/>
      </w:pPr>
      <w:r w:rsidRPr="00A57988">
        <w:rPr>
          <w:rStyle w:val="EndnoteReference"/>
        </w:rPr>
        <w:endnoteRef/>
      </w:r>
      <w:r w:rsidRPr="00A57988">
        <w:t xml:space="preserve"> Barack Obama, ‘The Future of Our Fight against Terrorism’, May </w:t>
      </w:r>
      <w:r>
        <w:t xml:space="preserve">23, </w:t>
      </w:r>
      <w:r w:rsidRPr="00A57988">
        <w:t>2013</w:t>
      </w:r>
      <w:r>
        <w:t xml:space="preserve">, </w:t>
      </w:r>
      <w:r w:rsidRPr="00DC2062">
        <w:t>https://obamawhitehouse.archives.gov/the-press-office/2013/05/23/remarks-president-barack-obama</w:t>
      </w:r>
      <w:r>
        <w:t xml:space="preserve"> (accessed September 1, 2018).</w:t>
      </w:r>
    </w:p>
  </w:endnote>
  <w:endnote w:id="17">
    <w:p w14:paraId="258A1DEB" w14:textId="77777777" w:rsidR="005927C0" w:rsidRPr="00A57988" w:rsidRDefault="005927C0" w:rsidP="005927C0">
      <w:pPr>
        <w:pStyle w:val="EndnoteText"/>
      </w:pPr>
      <w:r w:rsidRPr="00A57988">
        <w:rPr>
          <w:rStyle w:val="EndnoteReference"/>
        </w:rPr>
        <w:endnoteRef/>
      </w:r>
      <w:r w:rsidRPr="00A57988">
        <w:t xml:space="preserve"> See Bentley and Holland, </w:t>
      </w:r>
      <w:r w:rsidRPr="00A57988">
        <w:rPr>
          <w:i/>
        </w:rPr>
        <w:t>The Obama Doctrine</w:t>
      </w:r>
      <w:r w:rsidRPr="00A57988">
        <w:t xml:space="preserve">; Daniel W. </w:t>
      </w:r>
      <w:proofErr w:type="spellStart"/>
      <w:r w:rsidRPr="00A57988">
        <w:rPr>
          <w:color w:val="000000" w:themeColor="text1"/>
          <w:shd w:val="clear" w:color="auto" w:fill="FFFFFF"/>
        </w:rPr>
        <w:t>Drezner</w:t>
      </w:r>
      <w:proofErr w:type="spellEnd"/>
      <w:r w:rsidRPr="00A57988">
        <w:rPr>
          <w:color w:val="000000" w:themeColor="text1"/>
          <w:shd w:val="clear" w:color="auto" w:fill="FFFFFF"/>
        </w:rPr>
        <w:t>, ‘Does Obama Have a Grand Strategy’, </w:t>
      </w:r>
      <w:r w:rsidRPr="00A57988">
        <w:rPr>
          <w:iCs/>
          <w:color w:val="000000" w:themeColor="text1"/>
        </w:rPr>
        <w:t>Foreign Affairs</w:t>
      </w:r>
      <w:r w:rsidRPr="00A57988">
        <w:rPr>
          <w:color w:val="000000" w:themeColor="text1"/>
          <w:shd w:val="clear" w:color="auto" w:fill="FFFFFF"/>
        </w:rPr>
        <w:t> 90 (2011): 57-68; Colin</w:t>
      </w:r>
      <w:r w:rsidRPr="00A57988">
        <w:t xml:space="preserve"> </w:t>
      </w:r>
      <w:r w:rsidRPr="00A57988">
        <w:rPr>
          <w:color w:val="000000" w:themeColor="text1"/>
          <w:shd w:val="clear" w:color="auto" w:fill="FFFFFF"/>
        </w:rPr>
        <w:t xml:space="preserve">Dueck, </w:t>
      </w:r>
      <w:r w:rsidRPr="00A57988">
        <w:rPr>
          <w:i/>
          <w:iCs/>
          <w:color w:val="000000" w:themeColor="text1"/>
        </w:rPr>
        <w:t>The Obama Doctrine</w:t>
      </w:r>
      <w:r w:rsidRPr="00A57988">
        <w:rPr>
          <w:iCs/>
          <w:color w:val="000000" w:themeColor="text1"/>
        </w:rPr>
        <w:t xml:space="preserve"> (</w:t>
      </w:r>
      <w:r w:rsidRPr="00A57988">
        <w:rPr>
          <w:color w:val="000000" w:themeColor="text1"/>
          <w:shd w:val="clear" w:color="auto" w:fill="FFFFFF"/>
        </w:rPr>
        <w:t>Oxford: Oxford University Press, 2015).</w:t>
      </w:r>
    </w:p>
  </w:endnote>
  <w:endnote w:id="18">
    <w:p w14:paraId="3EAA7845" w14:textId="77777777" w:rsidR="005927C0" w:rsidRPr="00A57988" w:rsidRDefault="005927C0" w:rsidP="005927C0">
      <w:pPr>
        <w:spacing w:after="0"/>
        <w:rPr>
          <w:rFonts w:ascii="Times New Roman" w:hAnsi="Times New Roman" w:cs="Times New Roman"/>
          <w:color w:val="222222"/>
          <w:sz w:val="20"/>
          <w:szCs w:val="20"/>
          <w:shd w:val="clear" w:color="auto" w:fill="FFFFFF"/>
        </w:rPr>
      </w:pPr>
      <w:r w:rsidRPr="00A57988">
        <w:rPr>
          <w:rStyle w:val="EndnoteReference"/>
          <w:rFonts w:ascii="Times New Roman" w:hAnsi="Times New Roman" w:cs="Times New Roman"/>
          <w:sz w:val="20"/>
          <w:szCs w:val="20"/>
        </w:rPr>
        <w:endnoteRef/>
      </w:r>
      <w:r w:rsidRPr="00A57988">
        <w:rPr>
          <w:rFonts w:ascii="Times New Roman" w:hAnsi="Times New Roman" w:cs="Times New Roman"/>
          <w:sz w:val="20"/>
          <w:szCs w:val="20"/>
        </w:rPr>
        <w:t xml:space="preserve"> </w:t>
      </w:r>
      <w:proofErr w:type="spellStart"/>
      <w:r w:rsidRPr="00A57988">
        <w:rPr>
          <w:rFonts w:ascii="Times New Roman" w:hAnsi="Times New Roman" w:cs="Times New Roman"/>
          <w:sz w:val="20"/>
          <w:szCs w:val="20"/>
        </w:rPr>
        <w:t>Wali</w:t>
      </w:r>
      <w:proofErr w:type="spellEnd"/>
      <w:r w:rsidRPr="00A57988">
        <w:rPr>
          <w:rFonts w:ascii="Times New Roman" w:hAnsi="Times New Roman" w:cs="Times New Roman"/>
          <w:sz w:val="20"/>
          <w:szCs w:val="20"/>
        </w:rPr>
        <w:t xml:space="preserve"> </w:t>
      </w:r>
      <w:r w:rsidRPr="00A57988">
        <w:rPr>
          <w:rFonts w:ascii="Times New Roman" w:hAnsi="Times New Roman" w:cs="Times New Roman"/>
          <w:color w:val="222222"/>
          <w:sz w:val="20"/>
          <w:szCs w:val="20"/>
          <w:shd w:val="clear" w:color="auto" w:fill="FFFFFF"/>
        </w:rPr>
        <w:t>Aslam, ‘Drones and the Issue of Continuity in America’s Pakistan Policy under Obama’, in</w:t>
      </w:r>
      <w:r w:rsidRPr="00A57988">
        <w:rPr>
          <w:rStyle w:val="apple-converted-space"/>
          <w:rFonts w:ascii="Times New Roman" w:hAnsi="Times New Roman" w:cs="Times New Roman"/>
          <w:color w:val="222222"/>
          <w:sz w:val="20"/>
          <w:szCs w:val="20"/>
          <w:shd w:val="clear" w:color="auto" w:fill="FFFFFF"/>
        </w:rPr>
        <w:t> </w:t>
      </w:r>
      <w:r w:rsidRPr="00A57988">
        <w:rPr>
          <w:rFonts w:ascii="Times New Roman" w:hAnsi="Times New Roman" w:cs="Times New Roman"/>
          <w:i/>
          <w:iCs/>
          <w:color w:val="222222"/>
          <w:sz w:val="20"/>
          <w:szCs w:val="20"/>
        </w:rPr>
        <w:t>Obama's Foreign Policy</w:t>
      </w:r>
      <w:r w:rsidRPr="00A57988">
        <w:rPr>
          <w:rFonts w:ascii="Times New Roman" w:hAnsi="Times New Roman" w:cs="Times New Roman"/>
          <w:color w:val="222222"/>
          <w:sz w:val="20"/>
          <w:szCs w:val="20"/>
          <w:shd w:val="clear" w:color="auto" w:fill="FFFFFF"/>
        </w:rPr>
        <w:t xml:space="preserve">, eds. Michelle Bentley and Jack Holland (London: Routledge, 2014), 139-161; </w:t>
      </w:r>
      <w:r w:rsidRPr="00A57988">
        <w:rPr>
          <w:rFonts w:ascii="Times New Roman" w:hAnsi="Times New Roman" w:cs="Times New Roman"/>
          <w:sz w:val="20"/>
          <w:szCs w:val="20"/>
        </w:rPr>
        <w:t>Fuller, ‘The Assassin in Chief’.</w:t>
      </w:r>
    </w:p>
  </w:endnote>
  <w:endnote w:id="19">
    <w:p w14:paraId="7A9FB328" w14:textId="77777777" w:rsidR="00F76E02" w:rsidRPr="00A57988" w:rsidRDefault="00F76E02" w:rsidP="00F76E02">
      <w:pPr>
        <w:pStyle w:val="EndnoteText"/>
      </w:pPr>
      <w:r w:rsidRPr="00A57988">
        <w:rPr>
          <w:rStyle w:val="EndnoteReference"/>
        </w:rPr>
        <w:endnoteRef/>
      </w:r>
      <w:r w:rsidRPr="00A57988">
        <w:t xml:space="preserve"> David </w:t>
      </w:r>
      <w:r w:rsidRPr="00A57988">
        <w:rPr>
          <w:color w:val="000000" w:themeColor="text1"/>
          <w:shd w:val="clear" w:color="auto" w:fill="FFFFFF"/>
        </w:rPr>
        <w:t xml:space="preserve">Campbell, </w:t>
      </w:r>
      <w:r w:rsidRPr="00A57988">
        <w:rPr>
          <w:i/>
          <w:iCs/>
          <w:color w:val="000000" w:themeColor="text1"/>
        </w:rPr>
        <w:t xml:space="preserve">Writing Security </w:t>
      </w:r>
      <w:r w:rsidRPr="00A57988">
        <w:rPr>
          <w:iCs/>
          <w:color w:val="000000" w:themeColor="text1"/>
        </w:rPr>
        <w:t>(</w:t>
      </w:r>
      <w:r w:rsidRPr="00A57988">
        <w:rPr>
          <w:color w:val="000000" w:themeColor="text1"/>
          <w:shd w:val="clear" w:color="auto" w:fill="FFFFFF"/>
        </w:rPr>
        <w:t xml:space="preserve">Minneapolis, MN: University of Minnesota Press, 1992). See also </w:t>
      </w:r>
      <w:r w:rsidRPr="00A57988">
        <w:t xml:space="preserve">Michael </w:t>
      </w:r>
      <w:proofErr w:type="spellStart"/>
      <w:r w:rsidRPr="00A57988">
        <w:rPr>
          <w:color w:val="000000" w:themeColor="text1"/>
        </w:rPr>
        <w:t>Krenn</w:t>
      </w:r>
      <w:proofErr w:type="spellEnd"/>
      <w:r w:rsidRPr="00A57988">
        <w:rPr>
          <w:color w:val="000000" w:themeColor="text1"/>
        </w:rPr>
        <w:t xml:space="preserve">, </w:t>
      </w:r>
      <w:r w:rsidRPr="00A57988">
        <w:rPr>
          <w:i/>
          <w:color w:val="000000" w:themeColor="text1"/>
        </w:rPr>
        <w:t xml:space="preserve">The </w:t>
      </w:r>
      <w:proofErr w:type="spellStart"/>
      <w:r w:rsidRPr="00A57988">
        <w:rPr>
          <w:i/>
          <w:color w:val="000000" w:themeColor="text1"/>
        </w:rPr>
        <w:t>Color</w:t>
      </w:r>
      <w:proofErr w:type="spellEnd"/>
      <w:r w:rsidRPr="00A57988">
        <w:rPr>
          <w:i/>
          <w:color w:val="000000" w:themeColor="text1"/>
        </w:rPr>
        <w:t xml:space="preserve"> of Empire</w:t>
      </w:r>
      <w:r w:rsidRPr="00A57988">
        <w:rPr>
          <w:color w:val="000000" w:themeColor="text1"/>
        </w:rPr>
        <w:t xml:space="preserve"> (Washington, DC: Potomac Books, 2006).</w:t>
      </w:r>
    </w:p>
  </w:endnote>
  <w:endnote w:id="20">
    <w:p w14:paraId="5BA8F7F2" w14:textId="77777777" w:rsidR="00F76E02" w:rsidRPr="00426ABE" w:rsidRDefault="00F76E02" w:rsidP="00F76E02">
      <w:pPr>
        <w:pStyle w:val="EndnoteText"/>
        <w:rPr>
          <w:lang w:val="en-US"/>
        </w:rPr>
      </w:pPr>
      <w:r w:rsidRPr="00426ABE">
        <w:rPr>
          <w:rStyle w:val="EndnoteReference"/>
        </w:rPr>
        <w:endnoteRef/>
      </w:r>
      <w:r w:rsidRPr="00426ABE">
        <w:t xml:space="preserve"> </w:t>
      </w:r>
      <w:r w:rsidRPr="00426ABE">
        <w:rPr>
          <w:lang w:val="en-US"/>
        </w:rPr>
        <w:t xml:space="preserve">See, for example, </w:t>
      </w:r>
      <w:proofErr w:type="spellStart"/>
      <w:r w:rsidRPr="00426ABE">
        <w:rPr>
          <w:lang w:val="en-US"/>
        </w:rPr>
        <w:t>Krystyn</w:t>
      </w:r>
      <w:proofErr w:type="spellEnd"/>
      <w:r w:rsidRPr="00426ABE">
        <w:rPr>
          <w:lang w:val="en-US"/>
        </w:rPr>
        <w:t xml:space="preserve"> R, Moon, “There’s No Yellow in the Red, White and Blue’: The Creation of Anti-Japanese Music During World War II’, </w:t>
      </w:r>
      <w:r w:rsidRPr="00426ABE">
        <w:rPr>
          <w:i/>
          <w:lang w:val="en-US"/>
        </w:rPr>
        <w:t>Pacific Historical Review</w:t>
      </w:r>
      <w:r w:rsidRPr="00426ABE">
        <w:rPr>
          <w:lang w:val="en-US"/>
        </w:rPr>
        <w:t xml:space="preserve"> 72, no. 3 (2003): 333-352; Dong </w:t>
      </w:r>
      <w:proofErr w:type="spellStart"/>
      <w:r w:rsidRPr="00426ABE">
        <w:rPr>
          <w:lang w:val="en-US"/>
        </w:rPr>
        <w:t>Choon</w:t>
      </w:r>
      <w:proofErr w:type="spellEnd"/>
      <w:r w:rsidRPr="00426ABE">
        <w:rPr>
          <w:lang w:val="en-US"/>
        </w:rPr>
        <w:t xml:space="preserve"> Kim, ‘Forgotten War, Forgotten Massacres—the Korean War (1950-1953) as Licensed Mass Killings’, </w:t>
      </w:r>
      <w:r w:rsidRPr="00426ABE">
        <w:rPr>
          <w:i/>
          <w:lang w:val="en-US"/>
        </w:rPr>
        <w:t>Journal of Genocide Research</w:t>
      </w:r>
      <w:r w:rsidRPr="00426ABE">
        <w:rPr>
          <w:lang w:val="en-US"/>
        </w:rPr>
        <w:t xml:space="preserve"> 6, no. 4 (2004): 523-544; Nick </w:t>
      </w:r>
      <w:proofErr w:type="spellStart"/>
      <w:r w:rsidRPr="00426ABE">
        <w:rPr>
          <w:lang w:val="en-US"/>
        </w:rPr>
        <w:t>Turse</w:t>
      </w:r>
      <w:proofErr w:type="spellEnd"/>
      <w:r w:rsidRPr="00426ABE">
        <w:rPr>
          <w:lang w:val="en-US"/>
        </w:rPr>
        <w:t xml:space="preserve">, </w:t>
      </w:r>
      <w:r w:rsidRPr="00426ABE">
        <w:rPr>
          <w:i/>
          <w:lang w:val="en-US"/>
        </w:rPr>
        <w:t>Kill Anything that Moves: The Real American War in Vietnam</w:t>
      </w:r>
      <w:r w:rsidRPr="00426ABE">
        <w:rPr>
          <w:lang w:val="en-US"/>
        </w:rPr>
        <w:t xml:space="preserve"> (New York: Picador, 2013). </w:t>
      </w:r>
    </w:p>
  </w:endnote>
  <w:endnote w:id="21">
    <w:p w14:paraId="7C3CE6D6" w14:textId="77777777" w:rsidR="00F76E02" w:rsidRPr="00A57988" w:rsidRDefault="00F76E02" w:rsidP="00F76E02">
      <w:pPr>
        <w:pStyle w:val="EndnoteText"/>
      </w:pPr>
      <w:r w:rsidRPr="00A57988">
        <w:rPr>
          <w:rStyle w:val="EndnoteReference"/>
        </w:rPr>
        <w:endnoteRef/>
      </w:r>
      <w:r w:rsidRPr="00A57988">
        <w:t xml:space="preserve"> Anthea Elizabeth Roberts, ‘Traditional and Modern Approaches to Customary International Law</w:t>
      </w:r>
      <w:r>
        <w:t>’,</w:t>
      </w:r>
      <w:r w:rsidRPr="00A57988">
        <w:t xml:space="preserve"> </w:t>
      </w:r>
      <w:r w:rsidRPr="00A57988">
        <w:rPr>
          <w:i/>
        </w:rPr>
        <w:t>American Journal of International Law</w:t>
      </w:r>
      <w:r w:rsidRPr="00A57988">
        <w:t xml:space="preserve"> 95 (2001): 768.</w:t>
      </w:r>
    </w:p>
  </w:endnote>
  <w:endnote w:id="22">
    <w:p w14:paraId="47709D79" w14:textId="77777777" w:rsidR="00F76E02" w:rsidRPr="00A57988" w:rsidRDefault="00F76E02" w:rsidP="00F76E02">
      <w:pPr>
        <w:pStyle w:val="EndnoteText"/>
      </w:pPr>
      <w:r w:rsidRPr="00A57988">
        <w:rPr>
          <w:rStyle w:val="EndnoteReference"/>
        </w:rPr>
        <w:endnoteRef/>
      </w:r>
      <w:r w:rsidRPr="00A57988">
        <w:t xml:space="preserve"> This is especially true of the US in recent years, from Bush’s justification of the invasion of Iraq, to the responsibility to protect, to Obama’s killing program. </w:t>
      </w:r>
    </w:p>
  </w:endnote>
  <w:endnote w:id="23">
    <w:p w14:paraId="4655FD01" w14:textId="77777777" w:rsidR="00F76E02" w:rsidRPr="00A57988" w:rsidRDefault="00F76E02" w:rsidP="00F76E02">
      <w:pPr>
        <w:pStyle w:val="EndnoteText"/>
      </w:pPr>
      <w:r w:rsidRPr="00A57988">
        <w:rPr>
          <w:rStyle w:val="EndnoteReference"/>
        </w:rPr>
        <w:endnoteRef/>
      </w:r>
      <w:r w:rsidRPr="00A57988">
        <w:t xml:space="preserve"> George Rodrigo Bandeira Galindo and César Yip, </w:t>
      </w:r>
      <w:r>
        <w:t>‘</w:t>
      </w:r>
      <w:r w:rsidRPr="00A57988">
        <w:t>Customary International Law and the Third World: Do Not Step on the Grass</w:t>
      </w:r>
      <w:r>
        <w:t>’,</w:t>
      </w:r>
      <w:r w:rsidRPr="00A57988">
        <w:t xml:space="preserve"> </w:t>
      </w:r>
      <w:r w:rsidRPr="00A57988">
        <w:rPr>
          <w:i/>
        </w:rPr>
        <w:t>Chinese Journal of International Law</w:t>
      </w:r>
      <w:r w:rsidRPr="00A57988">
        <w:t xml:space="preserve"> 16 (2017): 252.</w:t>
      </w:r>
    </w:p>
  </w:endnote>
  <w:endnote w:id="24">
    <w:p w14:paraId="39198536" w14:textId="77777777" w:rsidR="007723E0" w:rsidRPr="00A57988" w:rsidRDefault="007723E0" w:rsidP="007723E0">
      <w:pPr>
        <w:pStyle w:val="EndnoteText"/>
      </w:pPr>
      <w:r w:rsidRPr="00A57988">
        <w:rPr>
          <w:rStyle w:val="EndnoteReference"/>
        </w:rPr>
        <w:endnoteRef/>
      </w:r>
      <w:r w:rsidRPr="00A57988">
        <w:t xml:space="preserve"> </w:t>
      </w:r>
      <w:r w:rsidRPr="00A57988">
        <w:rPr>
          <w:color w:val="000000" w:themeColor="text1"/>
          <w:shd w:val="clear" w:color="auto" w:fill="FFFFFF"/>
        </w:rPr>
        <w:t xml:space="preserve">Campbell, </w:t>
      </w:r>
      <w:r w:rsidRPr="00A57988">
        <w:rPr>
          <w:i/>
          <w:iCs/>
          <w:color w:val="000000" w:themeColor="text1"/>
        </w:rPr>
        <w:t>Writing Security</w:t>
      </w:r>
      <w:r w:rsidRPr="00A57988">
        <w:rPr>
          <w:iCs/>
          <w:color w:val="000000" w:themeColor="text1"/>
        </w:rPr>
        <w:t>.</w:t>
      </w:r>
    </w:p>
  </w:endnote>
  <w:endnote w:id="25">
    <w:p w14:paraId="23184083" w14:textId="77777777" w:rsidR="007723E0" w:rsidRPr="00A57988" w:rsidRDefault="007723E0" w:rsidP="007723E0">
      <w:pPr>
        <w:pStyle w:val="EndnoteText"/>
      </w:pPr>
      <w:r w:rsidRPr="00A57988">
        <w:rPr>
          <w:rStyle w:val="EndnoteReference"/>
        </w:rPr>
        <w:endnoteRef/>
      </w:r>
      <w:r w:rsidRPr="00A57988">
        <w:t xml:space="preserve"> </w:t>
      </w:r>
      <w:proofErr w:type="spellStart"/>
      <w:r w:rsidRPr="00A57988">
        <w:rPr>
          <w:color w:val="000000" w:themeColor="text1"/>
        </w:rPr>
        <w:t>Krenn</w:t>
      </w:r>
      <w:proofErr w:type="spellEnd"/>
      <w:r w:rsidRPr="00A57988">
        <w:rPr>
          <w:color w:val="000000" w:themeColor="text1"/>
        </w:rPr>
        <w:t xml:space="preserve">, </w:t>
      </w:r>
      <w:r w:rsidRPr="00A57988">
        <w:rPr>
          <w:i/>
          <w:color w:val="000000" w:themeColor="text1"/>
        </w:rPr>
        <w:t xml:space="preserve">The </w:t>
      </w:r>
      <w:proofErr w:type="spellStart"/>
      <w:r w:rsidRPr="00A57988">
        <w:rPr>
          <w:i/>
          <w:color w:val="000000" w:themeColor="text1"/>
        </w:rPr>
        <w:t>Color</w:t>
      </w:r>
      <w:proofErr w:type="spellEnd"/>
      <w:r w:rsidRPr="00A57988">
        <w:rPr>
          <w:i/>
          <w:color w:val="000000" w:themeColor="text1"/>
        </w:rPr>
        <w:t xml:space="preserve"> of Empire</w:t>
      </w:r>
      <w:r w:rsidRPr="00A57988">
        <w:rPr>
          <w:color w:val="000000" w:themeColor="text1"/>
        </w:rPr>
        <w:t>.</w:t>
      </w:r>
    </w:p>
  </w:endnote>
  <w:endnote w:id="26">
    <w:p w14:paraId="746F9789" w14:textId="77777777" w:rsidR="007723E0" w:rsidRPr="00A57988" w:rsidRDefault="007723E0" w:rsidP="007723E0">
      <w:pPr>
        <w:pStyle w:val="EndnoteText"/>
      </w:pPr>
      <w:r w:rsidRPr="00A57988">
        <w:rPr>
          <w:rStyle w:val="EndnoteReference"/>
        </w:rPr>
        <w:endnoteRef/>
      </w:r>
      <w:r w:rsidRPr="00A57988">
        <w:t xml:space="preserve"> Albert </w:t>
      </w:r>
      <w:r w:rsidRPr="00A57988">
        <w:rPr>
          <w:color w:val="000000" w:themeColor="text1"/>
        </w:rPr>
        <w:t xml:space="preserve">Bandura, Bill Underwood, and Michael Fromson, ‘Disinhibition of Aggression through Diffusion of Responsibility and Dehumanization of Victims’, </w:t>
      </w:r>
      <w:r w:rsidRPr="00A57988">
        <w:rPr>
          <w:i/>
          <w:color w:val="000000" w:themeColor="text1"/>
        </w:rPr>
        <w:t>Journal of Research in Personality</w:t>
      </w:r>
      <w:r w:rsidRPr="00A57988">
        <w:rPr>
          <w:color w:val="000000" w:themeColor="text1"/>
        </w:rPr>
        <w:t xml:space="preserve"> 9 (1975), 255.</w:t>
      </w:r>
    </w:p>
  </w:endnote>
  <w:endnote w:id="27">
    <w:p w14:paraId="78155A94" w14:textId="77777777" w:rsidR="007723E0" w:rsidRPr="00A57988" w:rsidRDefault="007723E0" w:rsidP="007723E0">
      <w:pPr>
        <w:pStyle w:val="EndnoteText"/>
      </w:pPr>
      <w:r w:rsidRPr="00A57988">
        <w:rPr>
          <w:rStyle w:val="EndnoteReference"/>
        </w:rPr>
        <w:endnoteRef/>
      </w:r>
      <w:r w:rsidRPr="00A57988">
        <w:t xml:space="preserve"> Ibid</w:t>
      </w:r>
      <w:r>
        <w:t>.</w:t>
      </w:r>
      <w:r w:rsidRPr="00A57988">
        <w:t xml:space="preserve">; Adam </w:t>
      </w:r>
      <w:proofErr w:type="spellStart"/>
      <w:r w:rsidRPr="00A57988">
        <w:rPr>
          <w:color w:val="000000" w:themeColor="text1"/>
        </w:rPr>
        <w:t>Waytz</w:t>
      </w:r>
      <w:proofErr w:type="spellEnd"/>
      <w:r w:rsidRPr="00A57988">
        <w:rPr>
          <w:color w:val="000000" w:themeColor="text1"/>
        </w:rPr>
        <w:t xml:space="preserve">, Juliana Schroeder, and Nicholas Epley, ‘The Lesser Minds Problem’, in Paul Bain, Jeroen Vaes, and Jacques Philippe </w:t>
      </w:r>
      <w:proofErr w:type="spellStart"/>
      <w:r w:rsidRPr="00A57988">
        <w:rPr>
          <w:color w:val="000000" w:themeColor="text1"/>
        </w:rPr>
        <w:t>Leyens</w:t>
      </w:r>
      <w:proofErr w:type="spellEnd"/>
      <w:r w:rsidRPr="00A57988">
        <w:rPr>
          <w:color w:val="000000" w:themeColor="text1"/>
        </w:rPr>
        <w:t xml:space="preserve"> (eds.), </w:t>
      </w:r>
      <w:r w:rsidRPr="00A57988">
        <w:rPr>
          <w:i/>
          <w:color w:val="000000" w:themeColor="text1"/>
        </w:rPr>
        <w:t>Are We All Human?</w:t>
      </w:r>
      <w:r w:rsidRPr="00A57988">
        <w:rPr>
          <w:color w:val="000000" w:themeColor="text1"/>
        </w:rPr>
        <w:t xml:space="preserve"> (New York, NY: Psychology Press, 2013).</w:t>
      </w:r>
    </w:p>
  </w:endnote>
  <w:endnote w:id="28">
    <w:p w14:paraId="6640CAB0" w14:textId="77777777" w:rsidR="007723E0" w:rsidRPr="00A57988" w:rsidRDefault="007723E0" w:rsidP="007723E0">
      <w:pPr>
        <w:pStyle w:val="EndnoteText"/>
        <w:rPr>
          <w:color w:val="000000" w:themeColor="text1"/>
        </w:rPr>
      </w:pPr>
      <w:r w:rsidRPr="00A57988">
        <w:rPr>
          <w:rStyle w:val="EndnoteReference"/>
        </w:rPr>
        <w:endnoteRef/>
      </w:r>
      <w:r w:rsidRPr="00A57988">
        <w:t xml:space="preserve"> Adam </w:t>
      </w:r>
      <w:r w:rsidRPr="00A57988">
        <w:rPr>
          <w:color w:val="000000" w:themeColor="text1"/>
        </w:rPr>
        <w:t>Galinsky</w:t>
      </w:r>
      <w:r>
        <w:rPr>
          <w:color w:val="000000" w:themeColor="text1"/>
        </w:rPr>
        <w:t xml:space="preserve"> et al</w:t>
      </w:r>
      <w:r w:rsidRPr="00A57988">
        <w:rPr>
          <w:color w:val="000000" w:themeColor="text1"/>
        </w:rPr>
        <w:t xml:space="preserve">, ‘Power and Perspectives Not Taken’, </w:t>
      </w:r>
      <w:r w:rsidRPr="00A57988">
        <w:rPr>
          <w:i/>
          <w:color w:val="000000" w:themeColor="text1"/>
        </w:rPr>
        <w:t>Psychological Science</w:t>
      </w:r>
      <w:r w:rsidRPr="00A57988">
        <w:rPr>
          <w:color w:val="000000" w:themeColor="text1"/>
        </w:rPr>
        <w:t xml:space="preserve"> 17 (2006): 1068–1074; Kurt </w:t>
      </w:r>
      <w:proofErr w:type="spellStart"/>
      <w:r w:rsidRPr="00A57988">
        <w:rPr>
          <w:color w:val="000000" w:themeColor="text1"/>
        </w:rPr>
        <w:t>Gray</w:t>
      </w:r>
      <w:proofErr w:type="spellEnd"/>
      <w:r>
        <w:rPr>
          <w:color w:val="000000" w:themeColor="text1"/>
        </w:rPr>
        <w:t xml:space="preserve"> et al, </w:t>
      </w:r>
      <w:r w:rsidRPr="00A57988">
        <w:rPr>
          <w:color w:val="000000" w:themeColor="text1"/>
        </w:rPr>
        <w:t xml:space="preserve">‘More Than a Body’, </w:t>
      </w:r>
      <w:r w:rsidRPr="00A57988">
        <w:rPr>
          <w:i/>
          <w:color w:val="000000" w:themeColor="text1"/>
        </w:rPr>
        <w:t>Journal of Personality and Social Psychology</w:t>
      </w:r>
      <w:r w:rsidRPr="00A57988">
        <w:rPr>
          <w:color w:val="000000" w:themeColor="text1"/>
        </w:rPr>
        <w:t xml:space="preserve"> 101 (2011): 1207–1220.</w:t>
      </w:r>
    </w:p>
  </w:endnote>
  <w:endnote w:id="29">
    <w:p w14:paraId="5EACA391" w14:textId="77777777" w:rsidR="007723E0" w:rsidRPr="00A57988" w:rsidRDefault="007723E0" w:rsidP="007723E0">
      <w:pPr>
        <w:pStyle w:val="EndnoteText"/>
      </w:pPr>
      <w:r w:rsidRPr="00A57988">
        <w:rPr>
          <w:rStyle w:val="EndnoteReference"/>
        </w:rPr>
        <w:endnoteRef/>
      </w:r>
      <w:r w:rsidRPr="00A57988">
        <w:t xml:space="preserve"> Nick </w:t>
      </w:r>
      <w:r w:rsidRPr="00A57988">
        <w:rPr>
          <w:color w:val="000000" w:themeColor="text1"/>
        </w:rPr>
        <w:t xml:space="preserve">Haslam, ‘Dehumanization’, </w:t>
      </w:r>
      <w:r w:rsidRPr="00A57988">
        <w:rPr>
          <w:i/>
          <w:color w:val="000000" w:themeColor="text1"/>
        </w:rPr>
        <w:t>Personality and Social Psychology Review</w:t>
      </w:r>
      <w:r w:rsidRPr="00A57988">
        <w:rPr>
          <w:color w:val="000000" w:themeColor="text1"/>
        </w:rPr>
        <w:t xml:space="preserve"> 10 (2006): 252–264.</w:t>
      </w:r>
    </w:p>
  </w:endnote>
  <w:endnote w:id="30">
    <w:p w14:paraId="200BE584" w14:textId="77777777" w:rsidR="007723E0" w:rsidRPr="00A57988" w:rsidRDefault="007723E0" w:rsidP="007723E0">
      <w:pPr>
        <w:pStyle w:val="EndnoteText"/>
      </w:pPr>
      <w:r w:rsidRPr="00A57988">
        <w:rPr>
          <w:rStyle w:val="EndnoteReference"/>
        </w:rPr>
        <w:endnoteRef/>
      </w:r>
      <w:r w:rsidRPr="00A57988">
        <w:t xml:space="preserve"> See Jackson, </w:t>
      </w:r>
      <w:r w:rsidRPr="00A57988">
        <w:rPr>
          <w:i/>
        </w:rPr>
        <w:t>Writing the War on Terrorism</w:t>
      </w:r>
      <w:r w:rsidRPr="00A57988">
        <w:t>.</w:t>
      </w:r>
    </w:p>
  </w:endnote>
  <w:endnote w:id="31">
    <w:p w14:paraId="0370CBC1" w14:textId="77777777" w:rsidR="007723E0" w:rsidRPr="00A57988" w:rsidRDefault="007723E0" w:rsidP="007723E0">
      <w:pPr>
        <w:pStyle w:val="EndnoteText"/>
      </w:pPr>
      <w:r w:rsidRPr="00A57988">
        <w:rPr>
          <w:rStyle w:val="EndnoteReference"/>
        </w:rPr>
        <w:endnoteRef/>
      </w:r>
      <w:r w:rsidRPr="00A57988">
        <w:t xml:space="preserve"> </w:t>
      </w:r>
      <w:r w:rsidRPr="00A57988">
        <w:rPr>
          <w:color w:val="000000" w:themeColor="text1"/>
        </w:rPr>
        <w:t>Jackson, ‘Writing Wars on Terrorism’, 9.</w:t>
      </w:r>
    </w:p>
  </w:endnote>
  <w:endnote w:id="32">
    <w:p w14:paraId="19455394" w14:textId="77777777" w:rsidR="007723E0" w:rsidRPr="00A57988" w:rsidRDefault="007723E0" w:rsidP="007723E0">
      <w:pPr>
        <w:pStyle w:val="EndnoteText"/>
      </w:pPr>
      <w:r w:rsidRPr="00A57988">
        <w:rPr>
          <w:rStyle w:val="EndnoteReference"/>
        </w:rPr>
        <w:endnoteRef/>
      </w:r>
      <w:r w:rsidRPr="00A57988">
        <w:t xml:space="preserve"> Jack </w:t>
      </w:r>
      <w:r w:rsidRPr="00A57988">
        <w:rPr>
          <w:color w:val="000000" w:themeColor="text1"/>
        </w:rPr>
        <w:t xml:space="preserve">Holland, </w:t>
      </w:r>
      <w:r w:rsidRPr="00A57988">
        <w:rPr>
          <w:i/>
          <w:iCs/>
          <w:color w:val="000000" w:themeColor="text1"/>
          <w:lang w:eastAsia="en-GB"/>
        </w:rPr>
        <w:t xml:space="preserve">Selling the War on Terror </w:t>
      </w:r>
      <w:r w:rsidRPr="00A57988">
        <w:rPr>
          <w:iCs/>
          <w:color w:val="000000" w:themeColor="text1"/>
          <w:lang w:eastAsia="en-GB"/>
        </w:rPr>
        <w:t>(</w:t>
      </w:r>
      <w:r w:rsidRPr="00A57988">
        <w:rPr>
          <w:color w:val="000000" w:themeColor="text1"/>
          <w:lang w:eastAsia="en-GB"/>
        </w:rPr>
        <w:t>London: Routledge, 2012).</w:t>
      </w:r>
    </w:p>
  </w:endnote>
  <w:endnote w:id="33">
    <w:p w14:paraId="13A40B8B" w14:textId="77777777" w:rsidR="007723E0" w:rsidRPr="009B5578" w:rsidRDefault="007723E0" w:rsidP="007723E0">
      <w:pPr>
        <w:pStyle w:val="EndnoteText"/>
        <w:rPr>
          <w:color w:val="000000" w:themeColor="text1"/>
        </w:rPr>
      </w:pPr>
      <w:r w:rsidRPr="00A57988">
        <w:rPr>
          <w:rStyle w:val="EndnoteReference"/>
        </w:rPr>
        <w:endnoteRef/>
      </w:r>
      <w:r w:rsidRPr="00A57988">
        <w:t xml:space="preserve"> For analysis, see </w:t>
      </w:r>
      <w:r w:rsidRPr="00A57988">
        <w:rPr>
          <w:color w:val="000000" w:themeColor="text1"/>
        </w:rPr>
        <w:t xml:space="preserve">Holland, </w:t>
      </w:r>
      <w:r w:rsidRPr="00A57988">
        <w:rPr>
          <w:i/>
          <w:iCs/>
          <w:color w:val="000000" w:themeColor="text1"/>
          <w:lang w:eastAsia="en-GB"/>
        </w:rPr>
        <w:t>Selling the War on Terror</w:t>
      </w:r>
      <w:r w:rsidRPr="00A57988">
        <w:rPr>
          <w:iCs/>
          <w:color w:val="000000" w:themeColor="text1"/>
          <w:lang w:eastAsia="en-GB"/>
        </w:rPr>
        <w:t>.</w:t>
      </w:r>
      <w:r w:rsidRPr="00A57988">
        <w:rPr>
          <w:i/>
          <w:iCs/>
          <w:color w:val="000000" w:themeColor="text1"/>
          <w:lang w:eastAsia="en-GB"/>
        </w:rPr>
        <w:t xml:space="preserve"> </w:t>
      </w:r>
      <w:r w:rsidRPr="00A57988">
        <w:t>For the use of the language of frontier mythology, see George W. Bush, ‘</w:t>
      </w:r>
      <w:r w:rsidRPr="00A57988">
        <w:rPr>
          <w:bCs/>
          <w:color w:val="000000" w:themeColor="text1"/>
        </w:rPr>
        <w:t>At O'Hare, President Says ‘Get On Board’</w:t>
      </w:r>
      <w:r>
        <w:rPr>
          <w:bCs/>
          <w:color w:val="000000" w:themeColor="text1"/>
        </w:rPr>
        <w:t xml:space="preserve">, September 27, 2001, </w:t>
      </w:r>
      <w:r w:rsidRPr="00A57988">
        <w:rPr>
          <w:color w:val="000000" w:themeColor="text1"/>
        </w:rPr>
        <w:t xml:space="preserve">https://georgewbush-whitehouse.archives.gov/news/releases/2001/09/20010927-1.html </w:t>
      </w:r>
      <w:r>
        <w:rPr>
          <w:color w:val="000000" w:themeColor="text1"/>
        </w:rPr>
        <w:t>(</w:t>
      </w:r>
      <w:r w:rsidRPr="00A57988">
        <w:rPr>
          <w:color w:val="000000" w:themeColor="text1"/>
        </w:rPr>
        <w:t xml:space="preserve">accessed January </w:t>
      </w:r>
      <w:r>
        <w:rPr>
          <w:color w:val="000000" w:themeColor="text1"/>
        </w:rPr>
        <w:t xml:space="preserve">13, </w:t>
      </w:r>
      <w:r w:rsidRPr="00A57988">
        <w:rPr>
          <w:color w:val="000000" w:themeColor="text1"/>
        </w:rPr>
        <w:t>2017</w:t>
      </w:r>
      <w:r>
        <w:rPr>
          <w:color w:val="000000" w:themeColor="text1"/>
        </w:rPr>
        <w:t xml:space="preserve">); id., </w:t>
      </w:r>
      <w:r w:rsidRPr="00A57988">
        <w:rPr>
          <w:color w:val="000000" w:themeColor="text1"/>
        </w:rPr>
        <w:t>‘International Campaign Against Terror Grows’</w:t>
      </w:r>
      <w:r>
        <w:rPr>
          <w:color w:val="000000" w:themeColor="text1"/>
        </w:rPr>
        <w:t xml:space="preserve">, September 25, 2001, </w:t>
      </w:r>
      <w:r w:rsidRPr="00A57988">
        <w:rPr>
          <w:color w:val="000000" w:themeColor="text1"/>
        </w:rPr>
        <w:t>https://georgewbush-whitehouse.archives.gov/news/releases/2001/09/20010925-1.htm</w:t>
      </w:r>
      <w:r>
        <w:rPr>
          <w:color w:val="000000" w:themeColor="text1"/>
        </w:rPr>
        <w:t>l</w:t>
      </w:r>
      <w:r w:rsidRPr="00A57988">
        <w:rPr>
          <w:color w:val="000000" w:themeColor="text1"/>
        </w:rPr>
        <w:t xml:space="preserve"> </w:t>
      </w:r>
      <w:r>
        <w:rPr>
          <w:color w:val="000000" w:themeColor="text1"/>
        </w:rPr>
        <w:t>(</w:t>
      </w:r>
      <w:r w:rsidRPr="00A57988">
        <w:rPr>
          <w:color w:val="000000" w:themeColor="text1"/>
        </w:rPr>
        <w:t>accessed</w:t>
      </w:r>
      <w:r>
        <w:rPr>
          <w:color w:val="000000" w:themeColor="text1"/>
        </w:rPr>
        <w:t xml:space="preserve"> </w:t>
      </w:r>
      <w:r w:rsidRPr="00A57988">
        <w:rPr>
          <w:color w:val="000000" w:themeColor="text1"/>
        </w:rPr>
        <w:t xml:space="preserve">January </w:t>
      </w:r>
      <w:r>
        <w:rPr>
          <w:color w:val="000000" w:themeColor="text1"/>
        </w:rPr>
        <w:t xml:space="preserve">13, </w:t>
      </w:r>
      <w:r w:rsidRPr="00A57988">
        <w:rPr>
          <w:color w:val="000000" w:themeColor="text1"/>
        </w:rPr>
        <w:t>2017</w:t>
      </w:r>
      <w:r>
        <w:rPr>
          <w:color w:val="000000" w:themeColor="text1"/>
        </w:rPr>
        <w:t>); id.,</w:t>
      </w:r>
      <w:r w:rsidRPr="00A57988">
        <w:rPr>
          <w:color w:val="000000" w:themeColor="text1"/>
        </w:rPr>
        <w:t xml:space="preserve"> </w:t>
      </w:r>
      <w:r w:rsidRPr="00A57988">
        <w:t>‘</w:t>
      </w:r>
      <w:r w:rsidRPr="00A57988">
        <w:rPr>
          <w:bCs/>
          <w:color w:val="000000" w:themeColor="text1"/>
        </w:rPr>
        <w:t>Remarks by the President upon Arrival at Barksdale Air Force Base’</w:t>
      </w:r>
      <w:r>
        <w:rPr>
          <w:bCs/>
          <w:color w:val="000000" w:themeColor="text1"/>
        </w:rPr>
        <w:t>, September 11, 2001,</w:t>
      </w:r>
      <w:r w:rsidRPr="00A57988">
        <w:rPr>
          <w:bCs/>
          <w:color w:val="000000" w:themeColor="text1"/>
        </w:rPr>
        <w:t xml:space="preserve"> </w:t>
      </w:r>
      <w:r w:rsidRPr="00A57988">
        <w:rPr>
          <w:color w:val="000000" w:themeColor="text1"/>
        </w:rPr>
        <w:t xml:space="preserve">https://georgewbush-whitehouse.archives.gov/news/releases/2001/09/20010911-1.html </w:t>
      </w:r>
      <w:r>
        <w:rPr>
          <w:color w:val="000000" w:themeColor="text1"/>
        </w:rPr>
        <w:t>(</w:t>
      </w:r>
      <w:r w:rsidRPr="00A57988">
        <w:rPr>
          <w:color w:val="000000" w:themeColor="text1"/>
        </w:rPr>
        <w:t xml:space="preserve">accessed January </w:t>
      </w:r>
      <w:r>
        <w:rPr>
          <w:color w:val="000000" w:themeColor="text1"/>
        </w:rPr>
        <w:t xml:space="preserve">13, </w:t>
      </w:r>
      <w:r w:rsidRPr="00A57988">
        <w:rPr>
          <w:color w:val="000000" w:themeColor="text1"/>
        </w:rPr>
        <w:t>2017</w:t>
      </w:r>
      <w:r>
        <w:rPr>
          <w:color w:val="000000" w:themeColor="text1"/>
        </w:rPr>
        <w:t>).</w:t>
      </w:r>
    </w:p>
  </w:endnote>
  <w:endnote w:id="34">
    <w:p w14:paraId="175B7E82" w14:textId="77777777" w:rsidR="007723E0" w:rsidRPr="00A57988" w:rsidRDefault="007723E0" w:rsidP="007723E0">
      <w:pPr>
        <w:pStyle w:val="EndnoteText"/>
      </w:pPr>
      <w:r w:rsidRPr="00A57988">
        <w:rPr>
          <w:rStyle w:val="EndnoteReference"/>
        </w:rPr>
        <w:endnoteRef/>
      </w:r>
      <w:r w:rsidRPr="00A57988">
        <w:t xml:space="preserve"> George W. Bush, ‘National Day of Prayer and Remembrance for the Victims of the Terrorist Attacks on September 11, 2001’</w:t>
      </w:r>
      <w:r>
        <w:t xml:space="preserve">, September 13, 2001, </w:t>
      </w:r>
      <w:r w:rsidRPr="001779AD">
        <w:t>https://georgewbushwhitehouse.archives.gov/news/releases/2001/09/20010913-7.html</w:t>
      </w:r>
      <w:r>
        <w:t xml:space="preserve"> (</w:t>
      </w:r>
      <w:r w:rsidRPr="00A57988">
        <w:t xml:space="preserve">accessed January </w:t>
      </w:r>
      <w:r>
        <w:t xml:space="preserve">13, </w:t>
      </w:r>
      <w:r w:rsidRPr="00A57988">
        <w:t>2017</w:t>
      </w:r>
      <w:r>
        <w:t>).</w:t>
      </w:r>
    </w:p>
  </w:endnote>
  <w:endnote w:id="35">
    <w:p w14:paraId="2C10FEBF" w14:textId="77777777" w:rsidR="007723E0" w:rsidRPr="00A57988" w:rsidRDefault="007723E0" w:rsidP="007723E0">
      <w:pPr>
        <w:pStyle w:val="EndnoteText"/>
      </w:pPr>
      <w:r w:rsidRPr="00A57988">
        <w:rPr>
          <w:rStyle w:val="EndnoteReference"/>
        </w:rPr>
        <w:endnoteRef/>
      </w:r>
      <w:r w:rsidRPr="00A57988">
        <w:t xml:space="preserve"> John Collins and Ross Glover, ‘Introduction’, </w:t>
      </w:r>
      <w:r w:rsidRPr="00A57988">
        <w:rPr>
          <w:color w:val="000000" w:themeColor="text1"/>
        </w:rPr>
        <w:t xml:space="preserve">in </w:t>
      </w:r>
      <w:r w:rsidRPr="00A57988">
        <w:rPr>
          <w:i/>
          <w:color w:val="000000" w:themeColor="text1"/>
        </w:rPr>
        <w:t>Collateral Language</w:t>
      </w:r>
      <w:r w:rsidRPr="00A57988">
        <w:rPr>
          <w:color w:val="000000" w:themeColor="text1"/>
        </w:rPr>
        <w:t>, eds. John Collins and Ross Glover (New York: New York University Press, 2002), 9.</w:t>
      </w:r>
    </w:p>
  </w:endnote>
  <w:endnote w:id="36">
    <w:p w14:paraId="605C206F" w14:textId="77777777" w:rsidR="00E623BA" w:rsidRPr="00A57988" w:rsidRDefault="00E623BA" w:rsidP="00E623BA">
      <w:pPr>
        <w:pStyle w:val="EndnoteText"/>
      </w:pPr>
      <w:r w:rsidRPr="00A57988">
        <w:rPr>
          <w:rStyle w:val="EndnoteReference"/>
        </w:rPr>
        <w:endnoteRef/>
      </w:r>
      <w:r w:rsidRPr="00A57988">
        <w:t xml:space="preserve"> Lee </w:t>
      </w:r>
      <w:r w:rsidRPr="00A57988">
        <w:rPr>
          <w:color w:val="000000" w:themeColor="text1"/>
        </w:rPr>
        <w:t>Jarvis and Jack Holland,</w:t>
      </w:r>
      <w:r>
        <w:rPr>
          <w:color w:val="000000" w:themeColor="text1"/>
        </w:rPr>
        <w:t xml:space="preserve"> ‘‘</w:t>
      </w:r>
      <w:r w:rsidRPr="00A57988">
        <w:rPr>
          <w:color w:val="000000" w:themeColor="text1"/>
        </w:rPr>
        <w:t>We [for]got him</w:t>
      </w:r>
      <w:r>
        <w:rPr>
          <w:color w:val="000000" w:themeColor="text1"/>
        </w:rPr>
        <w:t>’: Remembering and Forgetting in the Narration of bin Laden’s Death’</w:t>
      </w:r>
      <w:r w:rsidRPr="00A57988">
        <w:rPr>
          <w:color w:val="000000" w:themeColor="text1"/>
        </w:rPr>
        <w:t xml:space="preserve">, </w:t>
      </w:r>
      <w:r w:rsidRPr="00B01731">
        <w:rPr>
          <w:i/>
          <w:color w:val="000000" w:themeColor="text1"/>
        </w:rPr>
        <w:t>Millennium: Journal of International Studies</w:t>
      </w:r>
      <w:r>
        <w:rPr>
          <w:color w:val="000000" w:themeColor="text1"/>
        </w:rPr>
        <w:t xml:space="preserve"> 42</w:t>
      </w:r>
      <w:r w:rsidRPr="00A57988">
        <w:rPr>
          <w:color w:val="000000" w:themeColor="text1"/>
        </w:rPr>
        <w:t>,</w:t>
      </w:r>
      <w:r>
        <w:rPr>
          <w:color w:val="000000" w:themeColor="text1"/>
        </w:rPr>
        <w:t xml:space="preserve"> no. </w:t>
      </w:r>
      <w:r w:rsidRPr="00A57988">
        <w:rPr>
          <w:color w:val="000000" w:themeColor="text1"/>
        </w:rPr>
        <w:t>2 (2014)</w:t>
      </w:r>
      <w:r>
        <w:rPr>
          <w:color w:val="000000" w:themeColor="text1"/>
        </w:rPr>
        <w:t xml:space="preserve">: </w:t>
      </w:r>
      <w:r w:rsidRPr="00A57988">
        <w:rPr>
          <w:color w:val="000000" w:themeColor="text1"/>
        </w:rPr>
        <w:t>425-447.</w:t>
      </w:r>
    </w:p>
  </w:endnote>
  <w:endnote w:id="37">
    <w:p w14:paraId="49553BC8" w14:textId="77777777" w:rsidR="00E623BA" w:rsidRPr="00A57988" w:rsidRDefault="00E623BA" w:rsidP="00E623BA">
      <w:pPr>
        <w:pStyle w:val="EndnoteText"/>
      </w:pPr>
      <w:r w:rsidRPr="00A57988">
        <w:rPr>
          <w:rStyle w:val="EndnoteReference"/>
        </w:rPr>
        <w:endnoteRef/>
      </w:r>
      <w:r w:rsidRPr="00A57988">
        <w:t xml:space="preserve"> Phillip </w:t>
      </w:r>
      <w:r w:rsidRPr="00A57988">
        <w:rPr>
          <w:color w:val="000000" w:themeColor="text1"/>
        </w:rPr>
        <w:t xml:space="preserve">Knightley, </w:t>
      </w:r>
      <w:r w:rsidRPr="006634F6">
        <w:rPr>
          <w:i/>
          <w:color w:val="000000" w:themeColor="text1"/>
        </w:rPr>
        <w:t>The First Casualty</w:t>
      </w:r>
      <w:r w:rsidRPr="00A57988">
        <w:rPr>
          <w:i/>
          <w:color w:val="000000" w:themeColor="text1"/>
        </w:rPr>
        <w:t xml:space="preserve"> </w:t>
      </w:r>
      <w:r w:rsidRPr="00A57988">
        <w:rPr>
          <w:color w:val="000000" w:themeColor="text1"/>
        </w:rPr>
        <w:t>(Baltimore, MD: Johns Hopkins University Press, 2004), 494-495.</w:t>
      </w:r>
    </w:p>
  </w:endnote>
  <w:endnote w:id="38">
    <w:p w14:paraId="65E3525A" w14:textId="77777777" w:rsidR="00E623BA" w:rsidRPr="00A57988" w:rsidRDefault="00E623BA" w:rsidP="00E623BA">
      <w:pPr>
        <w:pStyle w:val="EndnoteText"/>
        <w:rPr>
          <w:color w:val="000000" w:themeColor="text1"/>
        </w:rPr>
      </w:pPr>
      <w:r w:rsidRPr="00A57988">
        <w:rPr>
          <w:rStyle w:val="EndnoteReference"/>
        </w:rPr>
        <w:endnoteRef/>
      </w:r>
      <w:r w:rsidRPr="00A57988">
        <w:t xml:space="preserve"> Koh, ‘</w:t>
      </w:r>
      <w:r w:rsidRPr="00A57988">
        <w:rPr>
          <w:color w:val="000000" w:themeColor="text1"/>
        </w:rPr>
        <w:t>The Obama Administration</w:t>
      </w:r>
      <w:r>
        <w:rPr>
          <w:color w:val="000000" w:themeColor="text1"/>
        </w:rPr>
        <w:t xml:space="preserve"> and International Law</w:t>
      </w:r>
      <w:r w:rsidRPr="00A57988">
        <w:rPr>
          <w:color w:val="000000" w:themeColor="text1"/>
        </w:rPr>
        <w:t xml:space="preserve">’; </w:t>
      </w:r>
      <w:r w:rsidRPr="00A57988">
        <w:t>Brennan, ‘</w:t>
      </w:r>
      <w:r w:rsidRPr="00A57988">
        <w:rPr>
          <w:color w:val="000000" w:themeColor="text1"/>
        </w:rPr>
        <w:t>Strengthening</w:t>
      </w:r>
      <w:r>
        <w:rPr>
          <w:color w:val="000000" w:themeColor="text1"/>
        </w:rPr>
        <w:t xml:space="preserve"> Our Security</w:t>
      </w:r>
      <w:r w:rsidRPr="00A57988">
        <w:rPr>
          <w:color w:val="000000" w:themeColor="text1"/>
        </w:rPr>
        <w:t>’,</w:t>
      </w:r>
      <w:r>
        <w:rPr>
          <w:color w:val="000000" w:themeColor="text1"/>
        </w:rPr>
        <w:t xml:space="preserve"> id.,</w:t>
      </w:r>
      <w:r w:rsidRPr="00A57988">
        <w:rPr>
          <w:color w:val="000000" w:themeColor="text1"/>
        </w:rPr>
        <w:t xml:space="preserve"> </w:t>
      </w:r>
      <w:r w:rsidRPr="00A57988">
        <w:t>‘</w:t>
      </w:r>
      <w:r w:rsidRPr="00A57988">
        <w:rPr>
          <w:color w:val="000000" w:themeColor="text1"/>
          <w:shd w:val="clear" w:color="auto" w:fill="FFFFFF"/>
        </w:rPr>
        <w:t>The Efficacy</w:t>
      </w:r>
      <w:r>
        <w:rPr>
          <w:color w:val="000000" w:themeColor="text1"/>
          <w:shd w:val="clear" w:color="auto" w:fill="FFFFFF"/>
        </w:rPr>
        <w:t xml:space="preserve"> of Our Fight</w:t>
      </w:r>
      <w:r w:rsidRPr="00A57988">
        <w:rPr>
          <w:color w:val="000000" w:themeColor="text1"/>
          <w:shd w:val="clear" w:color="auto" w:fill="FFFFFF"/>
        </w:rPr>
        <w:t>’</w:t>
      </w:r>
      <w:r w:rsidRPr="00A57988">
        <w:rPr>
          <w:color w:val="000000" w:themeColor="text1"/>
        </w:rPr>
        <w:t>; Johnson, ‘National Security</w:t>
      </w:r>
      <w:r>
        <w:rPr>
          <w:color w:val="000000" w:themeColor="text1"/>
        </w:rPr>
        <w:t xml:space="preserve"> Law</w:t>
      </w:r>
      <w:r w:rsidRPr="00A57988">
        <w:rPr>
          <w:color w:val="000000" w:themeColor="text1"/>
        </w:rPr>
        <w:t>’; Holder, ‘Attorney General Speaks</w:t>
      </w:r>
      <w:r>
        <w:rPr>
          <w:color w:val="000000" w:themeColor="text1"/>
        </w:rPr>
        <w:t xml:space="preserve"> at </w:t>
      </w:r>
      <w:proofErr w:type="spellStart"/>
      <w:r>
        <w:rPr>
          <w:color w:val="000000" w:themeColor="text1"/>
        </w:rPr>
        <w:t>Northwestern</w:t>
      </w:r>
      <w:proofErr w:type="spellEnd"/>
      <w:r>
        <w:rPr>
          <w:color w:val="000000" w:themeColor="text1"/>
        </w:rPr>
        <w:t xml:space="preserve"> University</w:t>
      </w:r>
      <w:r w:rsidRPr="00A57988">
        <w:rPr>
          <w:color w:val="000000" w:themeColor="text1"/>
        </w:rPr>
        <w:t xml:space="preserve">’; </w:t>
      </w:r>
      <w:r w:rsidRPr="00A57988">
        <w:t>Obama, ‘The Future</w:t>
      </w:r>
      <w:r>
        <w:t xml:space="preserve"> of Our Fight</w:t>
      </w:r>
      <w:r w:rsidRPr="00A57988">
        <w:t>’</w:t>
      </w:r>
      <w:r w:rsidRPr="00A57988">
        <w:rPr>
          <w:color w:val="000000" w:themeColor="text1"/>
        </w:rPr>
        <w:t>.</w:t>
      </w:r>
    </w:p>
  </w:endnote>
  <w:endnote w:id="39">
    <w:p w14:paraId="5CDB39B5" w14:textId="77777777" w:rsidR="00E623BA" w:rsidRPr="00A57988" w:rsidRDefault="00E623BA" w:rsidP="00E623BA">
      <w:pPr>
        <w:pStyle w:val="EndnoteText"/>
      </w:pPr>
      <w:r w:rsidRPr="00A57988">
        <w:rPr>
          <w:rStyle w:val="EndnoteReference"/>
        </w:rPr>
        <w:endnoteRef/>
      </w:r>
      <w:r w:rsidRPr="00A57988">
        <w:t xml:space="preserve"> Obama, ‘The Future</w:t>
      </w:r>
      <w:r>
        <w:t xml:space="preserve"> of Our Fight</w:t>
      </w:r>
      <w:r w:rsidRPr="00A57988">
        <w:t>’</w:t>
      </w:r>
      <w:r w:rsidRPr="00A57988">
        <w:rPr>
          <w:color w:val="000000" w:themeColor="text1"/>
        </w:rPr>
        <w:t>.</w:t>
      </w:r>
    </w:p>
  </w:endnote>
  <w:endnote w:id="40">
    <w:p w14:paraId="6141CDFC" w14:textId="77777777" w:rsidR="00E623BA" w:rsidRPr="00A57988" w:rsidRDefault="00E623BA" w:rsidP="00E623BA">
      <w:pPr>
        <w:pStyle w:val="EndnoteText"/>
      </w:pPr>
      <w:r w:rsidRPr="00A57988">
        <w:rPr>
          <w:rStyle w:val="EndnoteReference"/>
        </w:rPr>
        <w:endnoteRef/>
      </w:r>
      <w:r w:rsidRPr="00A57988">
        <w:t xml:space="preserve"> </w:t>
      </w:r>
      <w:r w:rsidRPr="00A57988">
        <w:rPr>
          <w:color w:val="000000" w:themeColor="text1"/>
        </w:rPr>
        <w:t>Holder, ‘Attorney General Speaks</w:t>
      </w:r>
      <w:r>
        <w:rPr>
          <w:color w:val="000000" w:themeColor="text1"/>
        </w:rPr>
        <w:t xml:space="preserve"> at </w:t>
      </w:r>
      <w:proofErr w:type="spellStart"/>
      <w:r>
        <w:rPr>
          <w:color w:val="000000" w:themeColor="text1"/>
        </w:rPr>
        <w:t>Northwestern</w:t>
      </w:r>
      <w:proofErr w:type="spellEnd"/>
      <w:r>
        <w:rPr>
          <w:color w:val="000000" w:themeColor="text1"/>
        </w:rPr>
        <w:t xml:space="preserve"> University</w:t>
      </w:r>
      <w:r w:rsidRPr="00A57988">
        <w:rPr>
          <w:color w:val="000000" w:themeColor="text1"/>
        </w:rPr>
        <w:t>’.</w:t>
      </w:r>
    </w:p>
  </w:endnote>
  <w:endnote w:id="41">
    <w:p w14:paraId="348838B4" w14:textId="77777777" w:rsidR="00E623BA" w:rsidRPr="00A57988" w:rsidRDefault="00E623BA" w:rsidP="00E623BA">
      <w:pPr>
        <w:pStyle w:val="EndnoteText"/>
      </w:pPr>
      <w:r w:rsidRPr="00A57988">
        <w:rPr>
          <w:rStyle w:val="EndnoteReference"/>
        </w:rPr>
        <w:endnoteRef/>
      </w:r>
      <w:r w:rsidRPr="00A57988">
        <w:t xml:space="preserve"> Brennan, ‘</w:t>
      </w:r>
      <w:r w:rsidRPr="00A57988">
        <w:rPr>
          <w:color w:val="000000" w:themeColor="text1"/>
          <w:shd w:val="clear" w:color="auto" w:fill="FFFFFF"/>
        </w:rPr>
        <w:t>The Efficacy</w:t>
      </w:r>
      <w:r>
        <w:rPr>
          <w:color w:val="000000" w:themeColor="text1"/>
          <w:shd w:val="clear" w:color="auto" w:fill="FFFFFF"/>
        </w:rPr>
        <w:t xml:space="preserve"> of Our Fight</w:t>
      </w:r>
      <w:r w:rsidRPr="00A57988">
        <w:rPr>
          <w:color w:val="000000" w:themeColor="text1"/>
          <w:shd w:val="clear" w:color="auto" w:fill="FFFFFF"/>
        </w:rPr>
        <w:t>’.</w:t>
      </w:r>
    </w:p>
  </w:endnote>
  <w:endnote w:id="42">
    <w:p w14:paraId="68F42A67" w14:textId="77777777" w:rsidR="00E623BA" w:rsidRPr="00A57988" w:rsidRDefault="00E623BA" w:rsidP="00E623BA">
      <w:pPr>
        <w:pStyle w:val="EndnoteText"/>
      </w:pPr>
      <w:r w:rsidRPr="00A57988">
        <w:rPr>
          <w:rStyle w:val="EndnoteReference"/>
        </w:rPr>
        <w:endnoteRef/>
      </w:r>
      <w:r w:rsidRPr="00A57988">
        <w:t xml:space="preserve"> Ibid.</w:t>
      </w:r>
    </w:p>
  </w:endnote>
  <w:endnote w:id="43">
    <w:p w14:paraId="7A0BA986" w14:textId="77777777" w:rsidR="00E623BA" w:rsidRPr="00A57988" w:rsidRDefault="00E623BA" w:rsidP="00E623BA">
      <w:pPr>
        <w:pStyle w:val="EndnoteText"/>
      </w:pPr>
      <w:r w:rsidRPr="00A57988">
        <w:rPr>
          <w:rStyle w:val="EndnoteReference"/>
        </w:rPr>
        <w:endnoteRef/>
      </w:r>
      <w:r w:rsidRPr="00A57988">
        <w:t xml:space="preserve"> </w:t>
      </w:r>
      <w:r w:rsidRPr="00A57988">
        <w:rPr>
          <w:color w:val="000000" w:themeColor="text1"/>
        </w:rPr>
        <w:t>Holder, ‘Attorney General Speaks</w:t>
      </w:r>
      <w:r>
        <w:rPr>
          <w:color w:val="000000" w:themeColor="text1"/>
        </w:rPr>
        <w:t xml:space="preserve"> at </w:t>
      </w:r>
      <w:proofErr w:type="spellStart"/>
      <w:r>
        <w:rPr>
          <w:color w:val="000000" w:themeColor="text1"/>
        </w:rPr>
        <w:t>Northwestern</w:t>
      </w:r>
      <w:proofErr w:type="spellEnd"/>
      <w:r>
        <w:rPr>
          <w:color w:val="000000" w:themeColor="text1"/>
        </w:rPr>
        <w:t xml:space="preserve"> University</w:t>
      </w:r>
      <w:r w:rsidRPr="00A57988">
        <w:rPr>
          <w:color w:val="000000" w:themeColor="text1"/>
        </w:rPr>
        <w:t>’.</w:t>
      </w:r>
    </w:p>
  </w:endnote>
  <w:endnote w:id="44">
    <w:p w14:paraId="2C738067" w14:textId="77777777" w:rsidR="00E623BA" w:rsidRPr="00A57988" w:rsidRDefault="00E623BA" w:rsidP="00E623BA">
      <w:pPr>
        <w:pStyle w:val="EndnoteText"/>
      </w:pPr>
      <w:r w:rsidRPr="00A57988">
        <w:rPr>
          <w:rStyle w:val="EndnoteReference"/>
        </w:rPr>
        <w:endnoteRef/>
      </w:r>
      <w:r w:rsidRPr="00A57988">
        <w:t xml:space="preserve"> Koh, ‘</w:t>
      </w:r>
      <w:r w:rsidRPr="00A57988">
        <w:rPr>
          <w:color w:val="000000" w:themeColor="text1"/>
        </w:rPr>
        <w:t>The Obama Administration</w:t>
      </w:r>
      <w:r>
        <w:rPr>
          <w:color w:val="000000" w:themeColor="text1"/>
        </w:rPr>
        <w:t xml:space="preserve"> and International Law</w:t>
      </w:r>
      <w:r w:rsidRPr="00A57988">
        <w:rPr>
          <w:color w:val="000000" w:themeColor="text1"/>
        </w:rPr>
        <w:t>’; Holder, ‘Attorney General Speaks</w:t>
      </w:r>
      <w:r>
        <w:rPr>
          <w:color w:val="000000" w:themeColor="text1"/>
        </w:rPr>
        <w:t xml:space="preserve"> at </w:t>
      </w:r>
      <w:proofErr w:type="spellStart"/>
      <w:r>
        <w:rPr>
          <w:color w:val="000000" w:themeColor="text1"/>
        </w:rPr>
        <w:t>Northwestern</w:t>
      </w:r>
      <w:proofErr w:type="spellEnd"/>
      <w:r>
        <w:rPr>
          <w:color w:val="000000" w:themeColor="text1"/>
        </w:rPr>
        <w:t xml:space="preserve"> University</w:t>
      </w:r>
      <w:r w:rsidRPr="00A57988">
        <w:rPr>
          <w:color w:val="000000" w:themeColor="text1"/>
        </w:rPr>
        <w:t xml:space="preserve">’; </w:t>
      </w:r>
      <w:r w:rsidRPr="00A57988">
        <w:t>Brennan, ‘</w:t>
      </w:r>
      <w:r w:rsidRPr="00A57988">
        <w:rPr>
          <w:color w:val="000000" w:themeColor="text1"/>
          <w:shd w:val="clear" w:color="auto" w:fill="FFFFFF"/>
        </w:rPr>
        <w:t>The Efficacy</w:t>
      </w:r>
      <w:r>
        <w:rPr>
          <w:color w:val="000000" w:themeColor="text1"/>
          <w:shd w:val="clear" w:color="auto" w:fill="FFFFFF"/>
        </w:rPr>
        <w:t xml:space="preserve"> of Our Fight</w:t>
      </w:r>
      <w:r w:rsidRPr="00A57988">
        <w:rPr>
          <w:color w:val="000000" w:themeColor="text1"/>
          <w:shd w:val="clear" w:color="auto" w:fill="FFFFFF"/>
        </w:rPr>
        <w:t xml:space="preserve">’; </w:t>
      </w:r>
      <w:r w:rsidRPr="00A57988">
        <w:rPr>
          <w:color w:val="000000" w:themeColor="text1"/>
        </w:rPr>
        <w:t>Johnson, ‘National Security</w:t>
      </w:r>
      <w:r>
        <w:rPr>
          <w:color w:val="000000" w:themeColor="text1"/>
        </w:rPr>
        <w:t xml:space="preserve"> Law</w:t>
      </w:r>
      <w:r w:rsidRPr="00A57988">
        <w:rPr>
          <w:color w:val="000000" w:themeColor="text1"/>
        </w:rPr>
        <w:t xml:space="preserve">’; </w:t>
      </w:r>
      <w:r w:rsidRPr="00A57988">
        <w:t>Obama, ‘The Future</w:t>
      </w:r>
      <w:r>
        <w:t xml:space="preserve"> of Our Fight</w:t>
      </w:r>
      <w:r w:rsidRPr="00A57988">
        <w:t>’.</w:t>
      </w:r>
    </w:p>
  </w:endnote>
  <w:endnote w:id="45">
    <w:p w14:paraId="6611B9AB" w14:textId="77777777" w:rsidR="00E623BA" w:rsidRPr="00A57988" w:rsidRDefault="00E623BA" w:rsidP="00E623BA">
      <w:pPr>
        <w:pStyle w:val="EndnoteText"/>
      </w:pPr>
      <w:r w:rsidRPr="00A57988">
        <w:rPr>
          <w:rStyle w:val="EndnoteReference"/>
        </w:rPr>
        <w:endnoteRef/>
      </w:r>
      <w:r w:rsidRPr="00A57988">
        <w:t xml:space="preserve"> John </w:t>
      </w:r>
      <w:proofErr w:type="spellStart"/>
      <w:r w:rsidRPr="00A57988">
        <w:rPr>
          <w:color w:val="000000" w:themeColor="text1"/>
        </w:rPr>
        <w:t>Tirman</w:t>
      </w:r>
      <w:proofErr w:type="spellEnd"/>
      <w:r w:rsidRPr="00A57988">
        <w:rPr>
          <w:color w:val="000000" w:themeColor="text1"/>
        </w:rPr>
        <w:t xml:space="preserve">, </w:t>
      </w:r>
      <w:r w:rsidRPr="00497429">
        <w:rPr>
          <w:i/>
          <w:color w:val="000000" w:themeColor="text1"/>
        </w:rPr>
        <w:t>The Deaths of Others</w:t>
      </w:r>
      <w:r w:rsidRPr="00A57988">
        <w:rPr>
          <w:color w:val="000000" w:themeColor="text1"/>
        </w:rPr>
        <w:t xml:space="preserve"> (London: Oxford University Press, 2011), 9.</w:t>
      </w:r>
    </w:p>
  </w:endnote>
  <w:endnote w:id="46">
    <w:p w14:paraId="510CD58C" w14:textId="77777777" w:rsidR="00E623BA" w:rsidRPr="00A57988" w:rsidRDefault="00E623BA" w:rsidP="00E623BA">
      <w:pPr>
        <w:pStyle w:val="EndnoteText"/>
      </w:pPr>
      <w:r w:rsidRPr="00A57988">
        <w:rPr>
          <w:rStyle w:val="EndnoteReference"/>
        </w:rPr>
        <w:endnoteRef/>
      </w:r>
      <w:r w:rsidRPr="00A57988">
        <w:t xml:space="preserve"> </w:t>
      </w:r>
      <w:r w:rsidRPr="00A57988">
        <w:rPr>
          <w:color w:val="000000" w:themeColor="text1"/>
        </w:rPr>
        <w:t>Neisser, ‘Targets’</w:t>
      </w:r>
      <w:r w:rsidRPr="00A57988">
        <w:t>, 144.</w:t>
      </w:r>
    </w:p>
  </w:endnote>
  <w:endnote w:id="47">
    <w:p w14:paraId="7469426F" w14:textId="77777777" w:rsidR="00E623BA" w:rsidRPr="00A57988" w:rsidRDefault="00E623BA" w:rsidP="00E623BA">
      <w:pPr>
        <w:pStyle w:val="EndnoteText"/>
      </w:pPr>
      <w:r w:rsidRPr="00A57988">
        <w:rPr>
          <w:rStyle w:val="EndnoteReference"/>
        </w:rPr>
        <w:endnoteRef/>
      </w:r>
      <w:r w:rsidRPr="00A57988">
        <w:t xml:space="preserve"> Koh, ‘</w:t>
      </w:r>
      <w:r w:rsidRPr="00A57988">
        <w:rPr>
          <w:color w:val="000000" w:themeColor="text1"/>
        </w:rPr>
        <w:t>The Obama Administration</w:t>
      </w:r>
      <w:r>
        <w:rPr>
          <w:color w:val="000000" w:themeColor="text1"/>
        </w:rPr>
        <w:t xml:space="preserve"> and International Law</w:t>
      </w:r>
      <w:r w:rsidRPr="00A57988">
        <w:rPr>
          <w:color w:val="000000" w:themeColor="text1"/>
        </w:rPr>
        <w:t>’.</w:t>
      </w:r>
    </w:p>
  </w:endnote>
  <w:endnote w:id="48">
    <w:p w14:paraId="05268FB8" w14:textId="77777777" w:rsidR="00E623BA" w:rsidRPr="00A57988" w:rsidRDefault="00E623BA" w:rsidP="00E623BA">
      <w:pPr>
        <w:pStyle w:val="EndnoteText"/>
      </w:pPr>
      <w:r w:rsidRPr="00A57988">
        <w:rPr>
          <w:rStyle w:val="EndnoteReference"/>
        </w:rPr>
        <w:endnoteRef/>
      </w:r>
      <w:r w:rsidRPr="00A57988">
        <w:t xml:space="preserve"> </w:t>
      </w:r>
      <w:r w:rsidRPr="00A57988">
        <w:rPr>
          <w:color w:val="000000" w:themeColor="text1"/>
        </w:rPr>
        <w:t>Holder, ‘Attorney General Speaks</w:t>
      </w:r>
      <w:r>
        <w:rPr>
          <w:color w:val="000000" w:themeColor="text1"/>
        </w:rPr>
        <w:t xml:space="preserve"> at </w:t>
      </w:r>
      <w:proofErr w:type="spellStart"/>
      <w:r>
        <w:rPr>
          <w:color w:val="000000" w:themeColor="text1"/>
        </w:rPr>
        <w:t>Northwestern</w:t>
      </w:r>
      <w:proofErr w:type="spellEnd"/>
      <w:r>
        <w:rPr>
          <w:color w:val="000000" w:themeColor="text1"/>
        </w:rPr>
        <w:t xml:space="preserve"> University</w:t>
      </w:r>
      <w:r w:rsidRPr="00A57988">
        <w:rPr>
          <w:color w:val="000000" w:themeColor="text1"/>
        </w:rPr>
        <w:t>’.</w:t>
      </w:r>
    </w:p>
  </w:endnote>
  <w:endnote w:id="49">
    <w:p w14:paraId="33642ED5" w14:textId="77777777" w:rsidR="00E623BA" w:rsidRPr="00A57988" w:rsidRDefault="00E623BA" w:rsidP="00E623BA">
      <w:pPr>
        <w:pStyle w:val="EndnoteText"/>
      </w:pPr>
      <w:r w:rsidRPr="00A57988">
        <w:rPr>
          <w:rStyle w:val="EndnoteReference"/>
        </w:rPr>
        <w:endnoteRef/>
      </w:r>
      <w:r w:rsidRPr="00A57988">
        <w:t xml:space="preserve"> Brennan, ‘</w:t>
      </w:r>
      <w:r w:rsidRPr="00A57988">
        <w:rPr>
          <w:color w:val="000000" w:themeColor="text1"/>
          <w:shd w:val="clear" w:color="auto" w:fill="FFFFFF"/>
        </w:rPr>
        <w:t>The Efficacy</w:t>
      </w:r>
      <w:r>
        <w:rPr>
          <w:color w:val="000000" w:themeColor="text1"/>
          <w:shd w:val="clear" w:color="auto" w:fill="FFFFFF"/>
        </w:rPr>
        <w:t xml:space="preserve"> of Our Fight</w:t>
      </w:r>
      <w:r w:rsidRPr="00A57988">
        <w:rPr>
          <w:color w:val="000000" w:themeColor="text1"/>
          <w:shd w:val="clear" w:color="auto" w:fill="FFFFFF"/>
        </w:rPr>
        <w:t>’.</w:t>
      </w:r>
    </w:p>
  </w:endnote>
  <w:endnote w:id="50">
    <w:p w14:paraId="25656292" w14:textId="77777777" w:rsidR="00E623BA" w:rsidRPr="00A57988" w:rsidRDefault="00E623BA" w:rsidP="00E623BA">
      <w:pPr>
        <w:pStyle w:val="EndnoteText"/>
      </w:pPr>
      <w:r w:rsidRPr="00A57988">
        <w:rPr>
          <w:rStyle w:val="EndnoteReference"/>
        </w:rPr>
        <w:endnoteRef/>
      </w:r>
      <w:r w:rsidRPr="00A57988">
        <w:t xml:space="preserve"> Ibid.</w:t>
      </w:r>
    </w:p>
  </w:endnote>
  <w:endnote w:id="51">
    <w:p w14:paraId="3D832F90" w14:textId="77777777" w:rsidR="00E623BA" w:rsidRPr="00A57988" w:rsidRDefault="00E623BA" w:rsidP="00E623BA">
      <w:pPr>
        <w:pStyle w:val="EndnoteText"/>
      </w:pPr>
      <w:r w:rsidRPr="00A57988">
        <w:rPr>
          <w:rStyle w:val="EndnoteReference"/>
        </w:rPr>
        <w:endnoteRef/>
      </w:r>
      <w:r w:rsidRPr="00A57988">
        <w:t xml:space="preserve"> </w:t>
      </w:r>
      <w:r w:rsidRPr="00A57988">
        <w:rPr>
          <w:color w:val="000000" w:themeColor="text1"/>
        </w:rPr>
        <w:t>Holder, ‘Attorney General Speaks</w:t>
      </w:r>
      <w:r w:rsidRPr="00497429">
        <w:rPr>
          <w:color w:val="000000" w:themeColor="text1"/>
        </w:rPr>
        <w:t xml:space="preserve"> </w:t>
      </w:r>
      <w:r>
        <w:rPr>
          <w:color w:val="000000" w:themeColor="text1"/>
        </w:rPr>
        <w:t xml:space="preserve">at </w:t>
      </w:r>
      <w:proofErr w:type="spellStart"/>
      <w:r>
        <w:rPr>
          <w:color w:val="000000" w:themeColor="text1"/>
        </w:rPr>
        <w:t>Northwestern</w:t>
      </w:r>
      <w:proofErr w:type="spellEnd"/>
      <w:r>
        <w:rPr>
          <w:color w:val="000000" w:themeColor="text1"/>
        </w:rPr>
        <w:t xml:space="preserve"> University</w:t>
      </w:r>
      <w:r w:rsidRPr="00A57988">
        <w:rPr>
          <w:color w:val="000000" w:themeColor="text1"/>
        </w:rPr>
        <w:t>’</w:t>
      </w:r>
      <w:r>
        <w:rPr>
          <w:color w:val="000000" w:themeColor="text1"/>
        </w:rPr>
        <w:t>.</w:t>
      </w:r>
    </w:p>
  </w:endnote>
  <w:endnote w:id="52">
    <w:p w14:paraId="6CC48DD0" w14:textId="77777777" w:rsidR="00E623BA" w:rsidRPr="00A57988" w:rsidRDefault="00E623BA" w:rsidP="00E623BA">
      <w:pPr>
        <w:pStyle w:val="EndnoteText"/>
      </w:pPr>
      <w:r w:rsidRPr="00A57988">
        <w:rPr>
          <w:rStyle w:val="EndnoteReference"/>
        </w:rPr>
        <w:endnoteRef/>
      </w:r>
      <w:r w:rsidRPr="00A57988">
        <w:t xml:space="preserve"> Obama, ‘The Future</w:t>
      </w:r>
      <w:r>
        <w:t xml:space="preserve"> of Our Fight</w:t>
      </w:r>
      <w:r w:rsidRPr="00A57988">
        <w:t>’</w:t>
      </w:r>
      <w:r w:rsidRPr="00A57988">
        <w:rPr>
          <w:color w:val="000000" w:themeColor="text1"/>
        </w:rPr>
        <w:t>.</w:t>
      </w:r>
    </w:p>
  </w:endnote>
  <w:endnote w:id="53">
    <w:p w14:paraId="4B8150FC" w14:textId="77777777" w:rsidR="00E623BA" w:rsidRPr="00A57988" w:rsidRDefault="00E623BA" w:rsidP="00E623BA">
      <w:pPr>
        <w:pStyle w:val="EndnoteText"/>
      </w:pPr>
      <w:r w:rsidRPr="00A57988">
        <w:rPr>
          <w:rStyle w:val="EndnoteReference"/>
        </w:rPr>
        <w:endnoteRef/>
      </w:r>
      <w:r w:rsidRPr="00A57988">
        <w:t xml:space="preserve"> Brennan, ‘</w:t>
      </w:r>
      <w:r w:rsidRPr="00A57988">
        <w:rPr>
          <w:color w:val="000000" w:themeColor="text1"/>
          <w:shd w:val="clear" w:color="auto" w:fill="FFFFFF"/>
        </w:rPr>
        <w:t>The Efficacy</w:t>
      </w:r>
      <w:r>
        <w:rPr>
          <w:color w:val="000000" w:themeColor="text1"/>
          <w:shd w:val="clear" w:color="auto" w:fill="FFFFFF"/>
        </w:rPr>
        <w:t xml:space="preserve"> of Our Fight</w:t>
      </w:r>
      <w:r w:rsidRPr="00A57988">
        <w:rPr>
          <w:color w:val="000000" w:themeColor="text1"/>
          <w:shd w:val="clear" w:color="auto" w:fill="FFFFFF"/>
        </w:rPr>
        <w:t>’.</w:t>
      </w:r>
    </w:p>
  </w:endnote>
  <w:endnote w:id="54">
    <w:p w14:paraId="3B0CA718" w14:textId="77777777" w:rsidR="00E623BA" w:rsidRPr="00A57988" w:rsidRDefault="00E623BA" w:rsidP="00E623BA">
      <w:pPr>
        <w:pStyle w:val="EndnoteText"/>
      </w:pPr>
      <w:r w:rsidRPr="00A57988">
        <w:rPr>
          <w:rStyle w:val="EndnoteReference"/>
        </w:rPr>
        <w:endnoteRef/>
      </w:r>
      <w:r w:rsidRPr="00A57988">
        <w:t xml:space="preserve"> </w:t>
      </w:r>
      <w:r w:rsidRPr="00A57988">
        <w:rPr>
          <w:color w:val="000000" w:themeColor="text1"/>
        </w:rPr>
        <w:t xml:space="preserve">Laura </w:t>
      </w:r>
      <w:proofErr w:type="spellStart"/>
      <w:r w:rsidRPr="00A57988">
        <w:rPr>
          <w:color w:val="000000" w:themeColor="text1"/>
        </w:rPr>
        <w:t>Rediehs</w:t>
      </w:r>
      <w:proofErr w:type="spellEnd"/>
      <w:r w:rsidRPr="00A57988">
        <w:rPr>
          <w:color w:val="000000" w:themeColor="text1"/>
        </w:rPr>
        <w:t xml:space="preserve">, ‘Evil’, in John Collins and Ross Glover (eds.), </w:t>
      </w:r>
      <w:r w:rsidRPr="00497429">
        <w:rPr>
          <w:i/>
          <w:color w:val="000000" w:themeColor="text1"/>
        </w:rPr>
        <w:t>Collateral Language</w:t>
      </w:r>
      <w:r w:rsidRPr="00A57988">
        <w:rPr>
          <w:i/>
          <w:color w:val="000000" w:themeColor="text1"/>
        </w:rPr>
        <w:t xml:space="preserve"> </w:t>
      </w:r>
      <w:r w:rsidRPr="00A57988">
        <w:rPr>
          <w:color w:val="000000" w:themeColor="text1"/>
        </w:rPr>
        <w:t>(London: New York University Press, 2002), 72.</w:t>
      </w:r>
    </w:p>
  </w:endnote>
  <w:endnote w:id="55">
    <w:p w14:paraId="6F730B7F" w14:textId="77777777" w:rsidR="00E623BA" w:rsidRPr="00A57988" w:rsidRDefault="00E623BA" w:rsidP="00E623BA">
      <w:pPr>
        <w:pStyle w:val="EndnoteText"/>
      </w:pPr>
      <w:r w:rsidRPr="00A57988">
        <w:rPr>
          <w:rStyle w:val="EndnoteReference"/>
        </w:rPr>
        <w:endnoteRef/>
      </w:r>
      <w:r w:rsidRPr="00A57988">
        <w:t xml:space="preserve"> Koh, ‘</w:t>
      </w:r>
      <w:r w:rsidRPr="00A57988">
        <w:rPr>
          <w:color w:val="000000" w:themeColor="text1"/>
        </w:rPr>
        <w:t>The Obama Administration</w:t>
      </w:r>
      <w:r>
        <w:rPr>
          <w:color w:val="000000" w:themeColor="text1"/>
        </w:rPr>
        <w:t xml:space="preserve"> and International Law</w:t>
      </w:r>
      <w:r w:rsidRPr="00A57988">
        <w:rPr>
          <w:color w:val="000000" w:themeColor="text1"/>
        </w:rPr>
        <w:t>’</w:t>
      </w:r>
      <w:r w:rsidRPr="00A57988">
        <w:t xml:space="preserve">; </w:t>
      </w:r>
      <w:r w:rsidRPr="00A57988">
        <w:rPr>
          <w:color w:val="000000" w:themeColor="text1"/>
        </w:rPr>
        <w:t>Holder, ‘Attorney General Speaks</w:t>
      </w:r>
      <w:r w:rsidRPr="00497429">
        <w:rPr>
          <w:color w:val="000000" w:themeColor="text1"/>
        </w:rPr>
        <w:t xml:space="preserve"> </w:t>
      </w:r>
      <w:r>
        <w:rPr>
          <w:color w:val="000000" w:themeColor="text1"/>
        </w:rPr>
        <w:t xml:space="preserve">at </w:t>
      </w:r>
      <w:proofErr w:type="spellStart"/>
      <w:r>
        <w:rPr>
          <w:color w:val="000000" w:themeColor="text1"/>
        </w:rPr>
        <w:t>Northwestern</w:t>
      </w:r>
      <w:proofErr w:type="spellEnd"/>
      <w:r>
        <w:rPr>
          <w:color w:val="000000" w:themeColor="text1"/>
        </w:rPr>
        <w:t xml:space="preserve"> University</w:t>
      </w:r>
      <w:r w:rsidRPr="00A57988">
        <w:rPr>
          <w:color w:val="000000" w:themeColor="text1"/>
        </w:rPr>
        <w:t>’</w:t>
      </w:r>
      <w:r>
        <w:rPr>
          <w:color w:val="000000" w:themeColor="text1"/>
        </w:rPr>
        <w:t xml:space="preserve">; </w:t>
      </w:r>
      <w:r w:rsidRPr="00A57988">
        <w:t>Brennan, ‘</w:t>
      </w:r>
      <w:r w:rsidRPr="00A57988">
        <w:rPr>
          <w:color w:val="000000" w:themeColor="text1"/>
          <w:shd w:val="clear" w:color="auto" w:fill="FFFFFF"/>
        </w:rPr>
        <w:t>The Efficacy</w:t>
      </w:r>
      <w:r>
        <w:rPr>
          <w:color w:val="000000" w:themeColor="text1"/>
          <w:shd w:val="clear" w:color="auto" w:fill="FFFFFF"/>
        </w:rPr>
        <w:t xml:space="preserve"> of Our Fight</w:t>
      </w:r>
      <w:r w:rsidRPr="00A57988">
        <w:rPr>
          <w:color w:val="000000" w:themeColor="text1"/>
          <w:shd w:val="clear" w:color="auto" w:fill="FFFFFF"/>
        </w:rPr>
        <w:t>’</w:t>
      </w:r>
      <w:r w:rsidRPr="00A57988">
        <w:t xml:space="preserve">; </w:t>
      </w:r>
      <w:r w:rsidRPr="00A57988">
        <w:rPr>
          <w:color w:val="000000" w:themeColor="text1"/>
        </w:rPr>
        <w:t>Johnson, ‘National Security</w:t>
      </w:r>
      <w:r>
        <w:rPr>
          <w:color w:val="000000" w:themeColor="text1"/>
        </w:rPr>
        <w:t xml:space="preserve"> Law</w:t>
      </w:r>
      <w:r w:rsidRPr="00A57988">
        <w:rPr>
          <w:color w:val="000000" w:themeColor="text1"/>
        </w:rPr>
        <w:t>’</w:t>
      </w:r>
      <w:r w:rsidRPr="00A57988">
        <w:t>; Obama, ‘The Future</w:t>
      </w:r>
      <w:r>
        <w:t xml:space="preserve"> of Our Fight</w:t>
      </w:r>
      <w:r w:rsidRPr="00A57988">
        <w:t>’</w:t>
      </w:r>
      <w:r w:rsidRPr="00A57988">
        <w:rPr>
          <w:color w:val="000000" w:themeColor="text1"/>
        </w:rPr>
        <w:t>.</w:t>
      </w:r>
    </w:p>
  </w:endnote>
  <w:endnote w:id="56">
    <w:p w14:paraId="2B8D07CA" w14:textId="77777777" w:rsidR="00E623BA" w:rsidRPr="00A57988" w:rsidRDefault="00E623BA" w:rsidP="00E623BA">
      <w:pPr>
        <w:pStyle w:val="EndnoteText"/>
      </w:pPr>
      <w:r w:rsidRPr="00A57988">
        <w:rPr>
          <w:rStyle w:val="EndnoteReference"/>
        </w:rPr>
        <w:endnoteRef/>
      </w:r>
      <w:r w:rsidRPr="00A57988">
        <w:t xml:space="preserve"> </w:t>
      </w:r>
      <w:proofErr w:type="spellStart"/>
      <w:r w:rsidRPr="00A57988">
        <w:rPr>
          <w:color w:val="000000" w:themeColor="text1"/>
        </w:rPr>
        <w:t>Rediehs</w:t>
      </w:r>
      <w:proofErr w:type="spellEnd"/>
      <w:r w:rsidRPr="00A57988">
        <w:rPr>
          <w:color w:val="000000" w:themeColor="text1"/>
        </w:rPr>
        <w:t>, ‘Evil’.</w:t>
      </w:r>
    </w:p>
  </w:endnote>
  <w:endnote w:id="57">
    <w:p w14:paraId="5C70A593" w14:textId="77777777" w:rsidR="00E623BA" w:rsidRPr="00A57988" w:rsidRDefault="00E623BA" w:rsidP="00E623BA">
      <w:pPr>
        <w:pStyle w:val="EndnoteText"/>
      </w:pPr>
      <w:r w:rsidRPr="00A57988">
        <w:rPr>
          <w:rStyle w:val="EndnoteReference"/>
        </w:rPr>
        <w:endnoteRef/>
      </w:r>
      <w:r w:rsidRPr="00A57988">
        <w:t xml:space="preserve"> Neta </w:t>
      </w:r>
      <w:r w:rsidRPr="00A57988">
        <w:rPr>
          <w:color w:val="000000" w:themeColor="text1"/>
        </w:rPr>
        <w:t xml:space="preserve">Crawford, </w:t>
      </w:r>
      <w:r w:rsidRPr="00A57988">
        <w:rPr>
          <w:i/>
          <w:color w:val="000000" w:themeColor="text1"/>
        </w:rPr>
        <w:t xml:space="preserve">Accountability for Killing </w:t>
      </w:r>
      <w:r w:rsidRPr="00A57988">
        <w:rPr>
          <w:color w:val="000000" w:themeColor="text1"/>
        </w:rPr>
        <w:t>(Oxford: Oxford University Press, 2013).</w:t>
      </w:r>
      <w:r>
        <w:rPr>
          <w:color w:val="000000" w:themeColor="text1"/>
        </w:rPr>
        <w:t xml:space="preserve"> </w:t>
      </w:r>
    </w:p>
  </w:endnote>
  <w:endnote w:id="58">
    <w:p w14:paraId="688CE665" w14:textId="77777777" w:rsidR="00E623BA" w:rsidRPr="00A57988" w:rsidRDefault="00E623BA" w:rsidP="00E623BA">
      <w:pPr>
        <w:pStyle w:val="EndnoteText"/>
      </w:pPr>
      <w:r w:rsidRPr="00A57988">
        <w:rPr>
          <w:rStyle w:val="EndnoteReference"/>
        </w:rPr>
        <w:endnoteRef/>
      </w:r>
      <w:r w:rsidRPr="00A57988">
        <w:t xml:space="preserve"> Brennan, ‘</w:t>
      </w:r>
      <w:r w:rsidRPr="00A57988">
        <w:rPr>
          <w:color w:val="000000" w:themeColor="text1"/>
          <w:shd w:val="clear" w:color="auto" w:fill="FFFFFF"/>
        </w:rPr>
        <w:t>The Efficacy</w:t>
      </w:r>
      <w:r>
        <w:rPr>
          <w:color w:val="000000" w:themeColor="text1"/>
          <w:shd w:val="clear" w:color="auto" w:fill="FFFFFF"/>
        </w:rPr>
        <w:t xml:space="preserve"> of Our Fight</w:t>
      </w:r>
      <w:r w:rsidRPr="00A57988">
        <w:rPr>
          <w:color w:val="000000" w:themeColor="text1"/>
          <w:shd w:val="clear" w:color="auto" w:fill="FFFFFF"/>
        </w:rPr>
        <w:t>’.</w:t>
      </w:r>
    </w:p>
  </w:endnote>
  <w:endnote w:id="59">
    <w:p w14:paraId="006FA369" w14:textId="77777777" w:rsidR="00E623BA" w:rsidRPr="00A57988" w:rsidRDefault="00E623BA" w:rsidP="00E623BA">
      <w:pPr>
        <w:pStyle w:val="EndnoteText"/>
      </w:pPr>
      <w:r w:rsidRPr="00A57988">
        <w:rPr>
          <w:rStyle w:val="EndnoteReference"/>
        </w:rPr>
        <w:endnoteRef/>
      </w:r>
      <w:r w:rsidRPr="00A57988">
        <w:t xml:space="preserve"> Ibid.</w:t>
      </w:r>
    </w:p>
  </w:endnote>
  <w:endnote w:id="60">
    <w:p w14:paraId="55DCAA24" w14:textId="77777777" w:rsidR="00E623BA" w:rsidRPr="00A57988" w:rsidRDefault="00E623BA" w:rsidP="00E623BA">
      <w:pPr>
        <w:pStyle w:val="EndnoteText"/>
      </w:pPr>
      <w:r w:rsidRPr="00A57988">
        <w:rPr>
          <w:rStyle w:val="EndnoteReference"/>
        </w:rPr>
        <w:endnoteRef/>
      </w:r>
      <w:r w:rsidRPr="00A57988">
        <w:t xml:space="preserve"> </w:t>
      </w:r>
      <w:r w:rsidRPr="00A57988">
        <w:rPr>
          <w:color w:val="000000" w:themeColor="text1"/>
        </w:rPr>
        <w:t>Johnson, ‘National Security</w:t>
      </w:r>
      <w:r>
        <w:rPr>
          <w:color w:val="000000" w:themeColor="text1"/>
        </w:rPr>
        <w:t xml:space="preserve"> Law</w:t>
      </w:r>
      <w:r w:rsidRPr="00A57988">
        <w:rPr>
          <w:color w:val="000000" w:themeColor="text1"/>
        </w:rPr>
        <w:t>’.</w:t>
      </w:r>
    </w:p>
  </w:endnote>
  <w:endnote w:id="61">
    <w:p w14:paraId="0D780D5C" w14:textId="77777777" w:rsidR="00E623BA" w:rsidRPr="00A57988" w:rsidRDefault="00E623BA" w:rsidP="00E623BA">
      <w:pPr>
        <w:pStyle w:val="EndnoteText"/>
      </w:pPr>
      <w:r w:rsidRPr="00A57988">
        <w:rPr>
          <w:rStyle w:val="EndnoteReference"/>
        </w:rPr>
        <w:endnoteRef/>
      </w:r>
      <w:r w:rsidRPr="00A57988">
        <w:t xml:space="preserve"> Brennan, ‘</w:t>
      </w:r>
      <w:r w:rsidRPr="00A57988">
        <w:rPr>
          <w:color w:val="000000" w:themeColor="text1"/>
        </w:rPr>
        <w:t>Strengthening</w:t>
      </w:r>
      <w:r>
        <w:rPr>
          <w:color w:val="000000" w:themeColor="text1"/>
        </w:rPr>
        <w:t xml:space="preserve"> Our Security</w:t>
      </w:r>
      <w:r w:rsidRPr="00A57988">
        <w:rPr>
          <w:color w:val="000000" w:themeColor="text1"/>
        </w:rPr>
        <w:t>’.</w:t>
      </w:r>
    </w:p>
  </w:endnote>
  <w:endnote w:id="62">
    <w:p w14:paraId="23099DBC" w14:textId="77777777" w:rsidR="007723E0" w:rsidRPr="00A57988" w:rsidRDefault="007723E0" w:rsidP="007723E0">
      <w:pPr>
        <w:pStyle w:val="EndnoteText"/>
        <w:ind w:left="720" w:hanging="720"/>
        <w:rPr>
          <w:color w:val="000000" w:themeColor="text1"/>
        </w:rPr>
      </w:pPr>
      <w:r w:rsidRPr="00A57988">
        <w:rPr>
          <w:rStyle w:val="EndnoteReference"/>
        </w:rPr>
        <w:endnoteRef/>
      </w:r>
      <w:r w:rsidRPr="00A57988">
        <w:t xml:space="preserve"> Quoted in William </w:t>
      </w:r>
      <w:r w:rsidRPr="00A57988">
        <w:rPr>
          <w:color w:val="000000" w:themeColor="text1"/>
        </w:rPr>
        <w:t xml:space="preserve">Lutz, </w:t>
      </w:r>
      <w:r w:rsidRPr="00F97CAE">
        <w:rPr>
          <w:i/>
          <w:color w:val="000000" w:themeColor="text1"/>
        </w:rPr>
        <w:t>Doublespeak Defined</w:t>
      </w:r>
      <w:r w:rsidRPr="00A57988">
        <w:rPr>
          <w:color w:val="000000" w:themeColor="text1"/>
        </w:rPr>
        <w:t xml:space="preserve"> (New York: Perennial, 1999), 32.</w:t>
      </w:r>
    </w:p>
  </w:endnote>
  <w:endnote w:id="63">
    <w:p w14:paraId="42F4FF8D" w14:textId="77777777" w:rsidR="007723E0" w:rsidRPr="00A57988" w:rsidRDefault="007723E0" w:rsidP="007723E0">
      <w:pPr>
        <w:pStyle w:val="EndnoteText"/>
        <w:rPr>
          <w:color w:val="000000" w:themeColor="text1"/>
        </w:rPr>
      </w:pPr>
      <w:r w:rsidRPr="00A57988">
        <w:rPr>
          <w:rStyle w:val="EndnoteReference"/>
        </w:rPr>
        <w:endnoteRef/>
      </w:r>
      <w:r w:rsidRPr="00A57988">
        <w:t xml:space="preserve"> Philip </w:t>
      </w:r>
      <w:r w:rsidRPr="00A57988">
        <w:rPr>
          <w:color w:val="000000" w:themeColor="text1"/>
        </w:rPr>
        <w:t>Neisser, ‘Targets’, in John Collins and Ross Glover (eds.), Collateral Language (London: New York University Press, 2002), 148.</w:t>
      </w:r>
    </w:p>
  </w:endnote>
  <w:endnote w:id="64">
    <w:p w14:paraId="4A39808D" w14:textId="77777777" w:rsidR="004A41B0" w:rsidRPr="00A57988" w:rsidRDefault="004A41B0" w:rsidP="004A41B0">
      <w:pPr>
        <w:pStyle w:val="EndnoteText"/>
      </w:pPr>
      <w:r w:rsidRPr="00A57988">
        <w:rPr>
          <w:rStyle w:val="EndnoteReference"/>
        </w:rPr>
        <w:endnoteRef/>
      </w:r>
      <w:r w:rsidRPr="00A57988">
        <w:t xml:space="preserve"> </w:t>
      </w:r>
      <w:r w:rsidRPr="00A57988">
        <w:rPr>
          <w:color w:val="000000" w:themeColor="text1"/>
        </w:rPr>
        <w:t>Johnson, ‘National Security</w:t>
      </w:r>
      <w:r>
        <w:rPr>
          <w:color w:val="000000" w:themeColor="text1"/>
        </w:rPr>
        <w:t xml:space="preserve"> Law</w:t>
      </w:r>
      <w:r w:rsidRPr="00A57988">
        <w:rPr>
          <w:color w:val="000000" w:themeColor="text1"/>
        </w:rPr>
        <w:t>’.</w:t>
      </w:r>
    </w:p>
  </w:endnote>
  <w:endnote w:id="65">
    <w:p w14:paraId="1B05767E" w14:textId="77777777" w:rsidR="004A41B0" w:rsidRPr="00A57988" w:rsidRDefault="004A41B0" w:rsidP="004A41B0">
      <w:pPr>
        <w:pStyle w:val="EndnoteText"/>
      </w:pPr>
      <w:r w:rsidRPr="00A57988">
        <w:rPr>
          <w:rStyle w:val="EndnoteReference"/>
        </w:rPr>
        <w:endnoteRef/>
      </w:r>
      <w:r w:rsidRPr="00A57988">
        <w:t xml:space="preserve"> Koh, ‘</w:t>
      </w:r>
      <w:r w:rsidRPr="00A57988">
        <w:rPr>
          <w:color w:val="000000" w:themeColor="text1"/>
        </w:rPr>
        <w:t>The Obama Administration</w:t>
      </w:r>
      <w:r>
        <w:rPr>
          <w:color w:val="000000" w:themeColor="text1"/>
        </w:rPr>
        <w:t xml:space="preserve"> and International law</w:t>
      </w:r>
      <w:r w:rsidRPr="00A57988">
        <w:rPr>
          <w:color w:val="000000" w:themeColor="text1"/>
        </w:rPr>
        <w:t>’.</w:t>
      </w:r>
    </w:p>
  </w:endnote>
  <w:endnote w:id="66">
    <w:p w14:paraId="3B9F8E60" w14:textId="77777777" w:rsidR="004A41B0" w:rsidRPr="00A57988" w:rsidRDefault="004A41B0" w:rsidP="004A41B0">
      <w:pPr>
        <w:pStyle w:val="EndnoteText"/>
      </w:pPr>
      <w:r w:rsidRPr="00A57988">
        <w:rPr>
          <w:rStyle w:val="EndnoteReference"/>
        </w:rPr>
        <w:endnoteRef/>
      </w:r>
      <w:r w:rsidRPr="00A57988">
        <w:t xml:space="preserve"> Brennan, ‘</w:t>
      </w:r>
      <w:r w:rsidRPr="00A57988">
        <w:rPr>
          <w:color w:val="000000" w:themeColor="text1"/>
          <w:shd w:val="clear" w:color="auto" w:fill="FFFFFF"/>
        </w:rPr>
        <w:t>The Efficacy</w:t>
      </w:r>
      <w:r>
        <w:rPr>
          <w:color w:val="000000" w:themeColor="text1"/>
          <w:shd w:val="clear" w:color="auto" w:fill="FFFFFF"/>
        </w:rPr>
        <w:t xml:space="preserve"> of Our Fight</w:t>
      </w:r>
      <w:r w:rsidRPr="00A57988">
        <w:rPr>
          <w:color w:val="000000" w:themeColor="text1"/>
          <w:shd w:val="clear" w:color="auto" w:fill="FFFFFF"/>
        </w:rPr>
        <w:t>’.</w:t>
      </w:r>
    </w:p>
  </w:endnote>
  <w:endnote w:id="67">
    <w:p w14:paraId="7325C11A" w14:textId="77777777" w:rsidR="004A41B0" w:rsidRPr="00A57988" w:rsidRDefault="004A41B0" w:rsidP="004A41B0">
      <w:pPr>
        <w:pStyle w:val="EndnoteText"/>
      </w:pPr>
      <w:r w:rsidRPr="00A57988">
        <w:rPr>
          <w:rStyle w:val="EndnoteReference"/>
        </w:rPr>
        <w:endnoteRef/>
      </w:r>
      <w:r w:rsidRPr="00A57988">
        <w:t xml:space="preserve"> </w:t>
      </w:r>
      <w:r w:rsidRPr="00A57988">
        <w:rPr>
          <w:color w:val="000000" w:themeColor="text1"/>
        </w:rPr>
        <w:t>Johnson, ‘National Security</w:t>
      </w:r>
      <w:r>
        <w:rPr>
          <w:color w:val="000000" w:themeColor="text1"/>
        </w:rPr>
        <w:t xml:space="preserve"> Law</w:t>
      </w:r>
      <w:r w:rsidRPr="00A57988">
        <w:rPr>
          <w:color w:val="000000" w:themeColor="text1"/>
        </w:rPr>
        <w:t>’.</w:t>
      </w:r>
    </w:p>
  </w:endnote>
  <w:endnote w:id="68">
    <w:p w14:paraId="0A6E068C" w14:textId="77777777" w:rsidR="004A41B0" w:rsidRPr="00A57988" w:rsidRDefault="004A41B0" w:rsidP="004A41B0">
      <w:pPr>
        <w:pStyle w:val="EndnoteText"/>
      </w:pPr>
      <w:r w:rsidRPr="00A57988">
        <w:rPr>
          <w:rStyle w:val="EndnoteReference"/>
        </w:rPr>
        <w:endnoteRef/>
      </w:r>
      <w:r w:rsidRPr="00A57988">
        <w:t xml:space="preserve"> Koh, ‘</w:t>
      </w:r>
      <w:r w:rsidRPr="00A57988">
        <w:rPr>
          <w:color w:val="000000" w:themeColor="text1"/>
        </w:rPr>
        <w:t>The Obama Administration</w:t>
      </w:r>
      <w:r>
        <w:rPr>
          <w:color w:val="000000" w:themeColor="text1"/>
        </w:rPr>
        <w:t xml:space="preserve"> and International Law</w:t>
      </w:r>
      <w:r w:rsidRPr="00A57988">
        <w:rPr>
          <w:color w:val="000000" w:themeColor="text1"/>
        </w:rPr>
        <w:t>’.</w:t>
      </w:r>
    </w:p>
  </w:endnote>
  <w:endnote w:id="69">
    <w:p w14:paraId="39FDE554" w14:textId="77777777" w:rsidR="004A41B0" w:rsidRPr="00A57988" w:rsidRDefault="004A41B0" w:rsidP="004A41B0">
      <w:pPr>
        <w:pStyle w:val="EndnoteText"/>
      </w:pPr>
      <w:r w:rsidRPr="00A57988">
        <w:rPr>
          <w:rStyle w:val="EndnoteReference"/>
        </w:rPr>
        <w:endnoteRef/>
      </w:r>
      <w:r w:rsidRPr="00A57988">
        <w:t xml:space="preserve"> Ibid.</w:t>
      </w:r>
    </w:p>
  </w:endnote>
  <w:endnote w:id="70">
    <w:p w14:paraId="5C539165" w14:textId="77777777" w:rsidR="004A41B0" w:rsidRPr="00A57988" w:rsidRDefault="004A41B0" w:rsidP="004A41B0">
      <w:pPr>
        <w:pStyle w:val="EndnoteText"/>
      </w:pPr>
      <w:r w:rsidRPr="00A57988">
        <w:rPr>
          <w:rStyle w:val="EndnoteReference"/>
        </w:rPr>
        <w:endnoteRef/>
      </w:r>
      <w:r w:rsidRPr="00A57988">
        <w:t xml:space="preserve"> Ibid.</w:t>
      </w:r>
    </w:p>
  </w:endnote>
  <w:endnote w:id="71">
    <w:p w14:paraId="0CFDAD48" w14:textId="77777777" w:rsidR="004A41B0" w:rsidRPr="00426ABE" w:rsidRDefault="004A41B0" w:rsidP="004A41B0">
      <w:pPr>
        <w:pStyle w:val="EndnoteText"/>
      </w:pPr>
      <w:r w:rsidRPr="00A57988">
        <w:rPr>
          <w:rStyle w:val="EndnoteReference"/>
        </w:rPr>
        <w:endnoteRef/>
      </w:r>
      <w:r w:rsidRPr="00A57988">
        <w:t xml:space="preserve"> Ibid</w:t>
      </w:r>
      <w:r>
        <w:t>.</w:t>
      </w:r>
      <w:r w:rsidRPr="00A57988">
        <w:t xml:space="preserve">; </w:t>
      </w:r>
      <w:r w:rsidRPr="00A57988">
        <w:rPr>
          <w:color w:val="000000" w:themeColor="text1"/>
        </w:rPr>
        <w:t xml:space="preserve">Holder, ‘Attorney </w:t>
      </w:r>
      <w:r w:rsidRPr="00426ABE">
        <w:rPr>
          <w:color w:val="000000" w:themeColor="text1"/>
        </w:rPr>
        <w:t xml:space="preserve">General Speaks at </w:t>
      </w:r>
      <w:proofErr w:type="spellStart"/>
      <w:r w:rsidRPr="00426ABE">
        <w:rPr>
          <w:color w:val="000000" w:themeColor="text1"/>
        </w:rPr>
        <w:t>Northwestern</w:t>
      </w:r>
      <w:proofErr w:type="spellEnd"/>
      <w:r w:rsidRPr="00426ABE">
        <w:rPr>
          <w:color w:val="000000" w:themeColor="text1"/>
        </w:rPr>
        <w:t xml:space="preserve"> University’</w:t>
      </w:r>
      <w:r w:rsidRPr="00426ABE">
        <w:t>; Brennan, ‘</w:t>
      </w:r>
      <w:r w:rsidRPr="00426ABE">
        <w:rPr>
          <w:color w:val="000000" w:themeColor="text1"/>
          <w:shd w:val="clear" w:color="auto" w:fill="FFFFFF"/>
        </w:rPr>
        <w:t>The Efficacy of Our Fight’</w:t>
      </w:r>
      <w:r w:rsidRPr="00426ABE">
        <w:t>; Obama, ‘The Future of Our Fight’</w:t>
      </w:r>
      <w:r w:rsidRPr="00426ABE">
        <w:rPr>
          <w:color w:val="000000" w:themeColor="text1"/>
        </w:rPr>
        <w:t>.</w:t>
      </w:r>
    </w:p>
  </w:endnote>
  <w:endnote w:id="72">
    <w:p w14:paraId="7AED519C" w14:textId="77777777" w:rsidR="004A41B0" w:rsidRPr="00426ABE" w:rsidRDefault="004A41B0" w:rsidP="004A41B0">
      <w:pPr>
        <w:pStyle w:val="EndnoteText"/>
      </w:pPr>
      <w:r w:rsidRPr="00426ABE">
        <w:rPr>
          <w:rStyle w:val="EndnoteReference"/>
        </w:rPr>
        <w:endnoteRef/>
      </w:r>
      <w:r w:rsidRPr="00426ABE">
        <w:t xml:space="preserve"> Ibid.</w:t>
      </w:r>
    </w:p>
  </w:endnote>
  <w:endnote w:id="73">
    <w:p w14:paraId="7D60BF2F" w14:textId="77777777" w:rsidR="004A41B0" w:rsidRPr="00426ABE" w:rsidRDefault="004A41B0" w:rsidP="004A41B0">
      <w:pPr>
        <w:pStyle w:val="EndnoteText"/>
      </w:pPr>
      <w:r w:rsidRPr="00426ABE">
        <w:rPr>
          <w:rStyle w:val="EndnoteReference"/>
        </w:rPr>
        <w:endnoteRef/>
      </w:r>
      <w:r w:rsidRPr="00426ABE">
        <w:t xml:space="preserve"> Koh, ‘</w:t>
      </w:r>
      <w:r w:rsidRPr="00426ABE">
        <w:rPr>
          <w:color w:val="000000" w:themeColor="text1"/>
        </w:rPr>
        <w:t xml:space="preserve">The Obama Administration and International Law’. The process of identifying and killing individuals is also known as the ‘kill chain’. Lauren Wilcox describes the kill chain as follows: “[T]he </w:t>
      </w:r>
      <w:proofErr w:type="gramStart"/>
      <w:r w:rsidRPr="00426ABE">
        <w:rPr>
          <w:color w:val="000000" w:themeColor="text1"/>
        </w:rPr>
        <w:t>kill</w:t>
      </w:r>
      <w:proofErr w:type="gramEnd"/>
      <w:r w:rsidRPr="00426ABE">
        <w:rPr>
          <w:color w:val="000000" w:themeColor="text1"/>
        </w:rPr>
        <w:t xml:space="preserve"> chain consists of target identification, dispatching forces or weapons to the target, the decision and order to attack the target, and finally destruction of the target.” See Lauren B. Wilcox, </w:t>
      </w:r>
      <w:r w:rsidRPr="00426ABE">
        <w:rPr>
          <w:i/>
          <w:color w:val="000000" w:themeColor="text1"/>
        </w:rPr>
        <w:t xml:space="preserve">Bodies of Violence </w:t>
      </w:r>
      <w:r w:rsidRPr="00426ABE">
        <w:rPr>
          <w:color w:val="000000" w:themeColor="text1"/>
        </w:rPr>
        <w:t>(Oxford: Oxford University Press, 2015), 139.</w:t>
      </w:r>
    </w:p>
  </w:endnote>
  <w:endnote w:id="74">
    <w:p w14:paraId="5B66775C" w14:textId="77777777" w:rsidR="00671DEE" w:rsidRPr="00426ABE" w:rsidRDefault="00671DEE" w:rsidP="00671DEE">
      <w:pPr>
        <w:pStyle w:val="EndnoteText"/>
        <w:rPr>
          <w:lang w:val="en-US"/>
        </w:rPr>
      </w:pPr>
      <w:r w:rsidRPr="00426ABE">
        <w:rPr>
          <w:rStyle w:val="EndnoteReference"/>
        </w:rPr>
        <w:endnoteRef/>
      </w:r>
      <w:r w:rsidRPr="00426ABE">
        <w:t xml:space="preserve"> </w:t>
      </w:r>
      <w:r w:rsidRPr="00426ABE">
        <w:rPr>
          <w:lang w:val="en-US"/>
        </w:rPr>
        <w:t xml:space="preserve">See Leila Hudson, Colin S. Owens, and Matt </w:t>
      </w:r>
      <w:proofErr w:type="spellStart"/>
      <w:r w:rsidRPr="00426ABE">
        <w:rPr>
          <w:lang w:val="en-US"/>
        </w:rPr>
        <w:t>Flannes</w:t>
      </w:r>
      <w:proofErr w:type="spellEnd"/>
      <w:r w:rsidRPr="00426ABE">
        <w:rPr>
          <w:lang w:val="en-US"/>
        </w:rPr>
        <w:t xml:space="preserve">. ‘Drone Warfare: Blowback from the New American Way of War’, </w:t>
      </w:r>
      <w:r w:rsidRPr="00426ABE">
        <w:rPr>
          <w:i/>
          <w:lang w:val="en-US"/>
        </w:rPr>
        <w:t>Middle East Policy</w:t>
      </w:r>
      <w:r w:rsidRPr="00426ABE">
        <w:rPr>
          <w:lang w:val="en-US"/>
        </w:rPr>
        <w:t xml:space="preserve"> 13, no. 3 (2011): 122-132.</w:t>
      </w:r>
    </w:p>
  </w:endnote>
  <w:endnote w:id="75">
    <w:p w14:paraId="1A0B8003" w14:textId="77777777" w:rsidR="00671DEE" w:rsidRPr="00426ABE" w:rsidRDefault="00671DEE" w:rsidP="00671DEE">
      <w:pPr>
        <w:pStyle w:val="EndnoteText"/>
        <w:rPr>
          <w:lang w:val="en-US"/>
        </w:rPr>
      </w:pPr>
      <w:r w:rsidRPr="00426ABE">
        <w:rPr>
          <w:rStyle w:val="EndnoteReference"/>
        </w:rPr>
        <w:endnoteRef/>
      </w:r>
      <w:r w:rsidRPr="00426ABE">
        <w:t xml:space="preserve"> </w:t>
      </w:r>
      <w:r w:rsidRPr="00426ABE">
        <w:rPr>
          <w:lang w:val="en-US"/>
        </w:rPr>
        <w:t xml:space="preserve">Quoted in Sassan </w:t>
      </w:r>
      <w:proofErr w:type="spellStart"/>
      <w:r w:rsidRPr="00426ABE">
        <w:rPr>
          <w:lang w:val="en-US"/>
        </w:rPr>
        <w:t>Gholiagha</w:t>
      </w:r>
      <w:proofErr w:type="spellEnd"/>
      <w:r w:rsidRPr="00426ABE">
        <w:rPr>
          <w:lang w:val="en-US"/>
        </w:rPr>
        <w:t xml:space="preserve">, ‘Individualized and Yet </w:t>
      </w:r>
      <w:proofErr w:type="spellStart"/>
      <w:r w:rsidRPr="00426ABE">
        <w:rPr>
          <w:lang w:val="en-US"/>
        </w:rPr>
        <w:t>Dehumanised</w:t>
      </w:r>
      <w:proofErr w:type="spellEnd"/>
      <w:r w:rsidRPr="00426ABE">
        <w:rPr>
          <w:lang w:val="en-US"/>
        </w:rPr>
        <w:t xml:space="preserve">? Targeted Killing via Drones’, </w:t>
      </w:r>
      <w:r w:rsidRPr="00426ABE">
        <w:rPr>
          <w:i/>
          <w:lang w:val="en-US"/>
        </w:rPr>
        <w:t>Behemoth: A Journal of Civilization</w:t>
      </w:r>
      <w:r w:rsidRPr="00426ABE">
        <w:rPr>
          <w:lang w:val="en-US"/>
        </w:rPr>
        <w:t xml:space="preserve"> 8, no. 2 (2015): 136. From Claire Garbett, </w:t>
      </w:r>
      <w:r w:rsidRPr="00426ABE">
        <w:rPr>
          <w:i/>
          <w:lang w:val="en-US"/>
        </w:rPr>
        <w:t xml:space="preserve">The Concept of the Civilian: Legal Recognition, </w:t>
      </w:r>
      <w:proofErr w:type="spellStart"/>
      <w:r w:rsidRPr="00426ABE">
        <w:rPr>
          <w:i/>
          <w:lang w:val="en-US"/>
        </w:rPr>
        <w:t>Adjucation</w:t>
      </w:r>
      <w:proofErr w:type="spellEnd"/>
      <w:r w:rsidRPr="00426ABE">
        <w:rPr>
          <w:i/>
          <w:lang w:val="en-US"/>
        </w:rPr>
        <w:t xml:space="preserve"> and the Trials of International Criminals</w:t>
      </w:r>
      <w:r w:rsidRPr="00426ABE">
        <w:rPr>
          <w:lang w:val="en-US"/>
        </w:rPr>
        <w:t xml:space="preserve"> (London: Routledge, 2015), 158.</w:t>
      </w:r>
    </w:p>
  </w:endnote>
  <w:endnote w:id="76">
    <w:p w14:paraId="463ABCAB" w14:textId="77777777" w:rsidR="00671DEE" w:rsidRPr="00426ABE" w:rsidRDefault="00671DEE" w:rsidP="00671DEE">
      <w:pPr>
        <w:pStyle w:val="EndnoteText"/>
        <w:rPr>
          <w:lang w:val="en-US"/>
        </w:rPr>
      </w:pPr>
      <w:r w:rsidRPr="00426ABE">
        <w:rPr>
          <w:rStyle w:val="EndnoteReference"/>
        </w:rPr>
        <w:endnoteRef/>
      </w:r>
      <w:r w:rsidRPr="00426ABE">
        <w:t xml:space="preserve"> </w:t>
      </w:r>
      <w:proofErr w:type="spellStart"/>
      <w:r w:rsidRPr="00426ABE">
        <w:rPr>
          <w:lang w:val="en-US"/>
        </w:rPr>
        <w:t>Gholiagha</w:t>
      </w:r>
      <w:proofErr w:type="spellEnd"/>
      <w:r w:rsidRPr="00426ABE">
        <w:rPr>
          <w:lang w:val="en-US"/>
        </w:rPr>
        <w:t xml:space="preserve">, ‘Individualized and Yet </w:t>
      </w:r>
      <w:proofErr w:type="spellStart"/>
      <w:r w:rsidRPr="00426ABE">
        <w:rPr>
          <w:lang w:val="en-US"/>
        </w:rPr>
        <w:t>Dehumanised</w:t>
      </w:r>
      <w:proofErr w:type="spellEnd"/>
      <w:r w:rsidRPr="00426ABE">
        <w:rPr>
          <w:lang w:val="en-US"/>
        </w:rPr>
        <w:t>’, 136.</w:t>
      </w:r>
    </w:p>
  </w:endnote>
  <w:endnote w:id="77">
    <w:p w14:paraId="7C68B8CF" w14:textId="77777777" w:rsidR="001978B5" w:rsidRPr="00426ABE" w:rsidRDefault="001978B5" w:rsidP="001978B5">
      <w:pPr>
        <w:pStyle w:val="EndnoteText"/>
      </w:pPr>
      <w:r w:rsidRPr="00426ABE">
        <w:rPr>
          <w:rStyle w:val="EndnoteReference"/>
        </w:rPr>
        <w:endnoteRef/>
      </w:r>
      <w:r w:rsidRPr="00426ABE">
        <w:t xml:space="preserve"> Mary L. </w:t>
      </w:r>
      <w:proofErr w:type="spellStart"/>
      <w:r w:rsidRPr="00426ABE">
        <w:rPr>
          <w:color w:val="222222"/>
          <w:shd w:val="clear" w:color="auto" w:fill="FFFFFF"/>
        </w:rPr>
        <w:t>Dudziak</w:t>
      </w:r>
      <w:proofErr w:type="spellEnd"/>
      <w:r w:rsidRPr="00426ABE">
        <w:rPr>
          <w:color w:val="222222"/>
          <w:shd w:val="clear" w:color="auto" w:fill="FFFFFF"/>
        </w:rPr>
        <w:t xml:space="preserve">, </w:t>
      </w:r>
      <w:r w:rsidRPr="00426ABE">
        <w:rPr>
          <w:i/>
          <w:iCs/>
          <w:color w:val="222222"/>
        </w:rPr>
        <w:t>War Time: An Idea, Its History, Its Consequences</w:t>
      </w:r>
      <w:r w:rsidRPr="00426ABE">
        <w:rPr>
          <w:color w:val="222222"/>
          <w:shd w:val="clear" w:color="auto" w:fill="FFFFFF"/>
        </w:rPr>
        <w:t xml:space="preserve"> (Oxford: Oxford University Press, 2012).</w:t>
      </w:r>
    </w:p>
  </w:endnote>
  <w:endnote w:id="78">
    <w:p w14:paraId="5886DB87" w14:textId="77777777" w:rsidR="001978B5" w:rsidRPr="00A57988" w:rsidRDefault="001978B5" w:rsidP="001978B5">
      <w:pPr>
        <w:pStyle w:val="EndnoteText"/>
        <w:rPr>
          <w:color w:val="222222"/>
          <w:shd w:val="clear" w:color="auto" w:fill="FFFFFF"/>
        </w:rPr>
      </w:pPr>
      <w:r w:rsidRPr="00426ABE">
        <w:rPr>
          <w:rStyle w:val="EndnoteReference"/>
        </w:rPr>
        <w:endnoteRef/>
      </w:r>
      <w:r w:rsidRPr="00426ABE">
        <w:t xml:space="preserve"> See </w:t>
      </w:r>
      <w:r w:rsidRPr="00426ABE">
        <w:rPr>
          <w:color w:val="222222"/>
          <w:shd w:val="clear" w:color="auto" w:fill="FFFFFF"/>
        </w:rPr>
        <w:t xml:space="preserve">Derek Gregory, ‘The Everywhere War’, </w:t>
      </w:r>
      <w:r w:rsidRPr="00426ABE">
        <w:rPr>
          <w:i/>
          <w:iCs/>
          <w:color w:val="222222"/>
        </w:rPr>
        <w:t>The Geographical</w:t>
      </w:r>
      <w:r w:rsidRPr="00A57988">
        <w:rPr>
          <w:i/>
          <w:iCs/>
          <w:color w:val="222222"/>
        </w:rPr>
        <w:t xml:space="preserve"> Journal</w:t>
      </w:r>
      <w:r w:rsidRPr="00A57988">
        <w:rPr>
          <w:color w:val="222222"/>
          <w:shd w:val="clear" w:color="auto" w:fill="FFFFFF"/>
        </w:rPr>
        <w:t> 177, no. 3 (2011): 238-250; Gerry Kearns, ‘Naturalising Empire: Echoes of Mackinder for the next American Century?’, </w:t>
      </w:r>
      <w:r w:rsidRPr="00A57988">
        <w:rPr>
          <w:i/>
          <w:iCs/>
          <w:color w:val="222222"/>
        </w:rPr>
        <w:t>Geopolitics</w:t>
      </w:r>
      <w:r w:rsidRPr="00A57988">
        <w:rPr>
          <w:color w:val="222222"/>
          <w:shd w:val="clear" w:color="auto" w:fill="FFFFFF"/>
        </w:rPr>
        <w:t xml:space="preserve"> 11, no. 1 (2006): 74-98. </w:t>
      </w:r>
    </w:p>
  </w:endnote>
  <w:endnote w:id="79">
    <w:p w14:paraId="48A0AD79" w14:textId="77777777" w:rsidR="001978B5" w:rsidRPr="00A57988" w:rsidRDefault="001978B5" w:rsidP="001978B5">
      <w:pPr>
        <w:pStyle w:val="EndnoteText"/>
      </w:pPr>
      <w:r w:rsidRPr="00A57988">
        <w:rPr>
          <w:rStyle w:val="EndnoteReference"/>
        </w:rPr>
        <w:endnoteRef/>
      </w:r>
      <w:r w:rsidRPr="00A57988">
        <w:t xml:space="preserve"> See Jack </w:t>
      </w:r>
      <w:r w:rsidRPr="00A57988">
        <w:rPr>
          <w:color w:val="000000" w:themeColor="text1"/>
        </w:rPr>
        <w:t>Holland, ‘</w:t>
      </w:r>
      <w:r w:rsidRPr="00A57988">
        <w:rPr>
          <w:color w:val="000000" w:themeColor="text1"/>
          <w:lang w:eastAsia="en-GB"/>
        </w:rPr>
        <w:t xml:space="preserve">From September 11th, 2001 to 9-11’, </w:t>
      </w:r>
      <w:r w:rsidRPr="00A57988">
        <w:rPr>
          <w:i/>
          <w:iCs/>
          <w:color w:val="000000" w:themeColor="text1"/>
          <w:lang w:eastAsia="en-GB"/>
        </w:rPr>
        <w:t>International Political Sociology</w:t>
      </w:r>
      <w:r w:rsidRPr="00A57988">
        <w:rPr>
          <w:color w:val="000000" w:themeColor="text1"/>
          <w:lang w:eastAsia="en-GB"/>
        </w:rPr>
        <w:t xml:space="preserve"> 3, no. 3 (2009): 275-292; Dirk </w:t>
      </w:r>
      <w:proofErr w:type="spellStart"/>
      <w:r w:rsidRPr="00A57988">
        <w:rPr>
          <w:color w:val="000000" w:themeColor="text1"/>
        </w:rPr>
        <w:t>Nabers</w:t>
      </w:r>
      <w:proofErr w:type="spellEnd"/>
      <w:r w:rsidRPr="00A57988">
        <w:rPr>
          <w:color w:val="000000" w:themeColor="text1"/>
        </w:rPr>
        <w:t xml:space="preserve">, ‘Filling the Void of Meaning’, </w:t>
      </w:r>
      <w:r w:rsidRPr="00A57988">
        <w:rPr>
          <w:bCs/>
          <w:i/>
          <w:color w:val="000000" w:themeColor="text1"/>
          <w:lang w:eastAsia="en-GB"/>
        </w:rPr>
        <w:t>Foreign Policy Analysis</w:t>
      </w:r>
      <w:r w:rsidRPr="00A57988">
        <w:rPr>
          <w:bCs/>
          <w:color w:val="000000" w:themeColor="text1"/>
          <w:lang w:eastAsia="en-GB"/>
        </w:rPr>
        <w:t xml:space="preserve"> 5, no. 2 (2009): 191-214.</w:t>
      </w:r>
    </w:p>
  </w:endnote>
  <w:endnote w:id="80">
    <w:p w14:paraId="572BD638" w14:textId="77777777" w:rsidR="001978B5" w:rsidRPr="00A57988" w:rsidRDefault="001978B5" w:rsidP="001978B5">
      <w:pPr>
        <w:pStyle w:val="EndnoteText"/>
      </w:pPr>
      <w:r w:rsidRPr="00A57988">
        <w:rPr>
          <w:rStyle w:val="EndnoteReference"/>
        </w:rPr>
        <w:endnoteRef/>
      </w:r>
      <w:r w:rsidRPr="00A57988">
        <w:rPr>
          <w:color w:val="000000" w:themeColor="text1"/>
        </w:rPr>
        <w:t xml:space="preserve"> See </w:t>
      </w:r>
      <w:r w:rsidRPr="00A57988">
        <w:t xml:space="preserve">Richard </w:t>
      </w:r>
      <w:r w:rsidRPr="00A57988">
        <w:rPr>
          <w:color w:val="000000" w:themeColor="text1"/>
        </w:rPr>
        <w:t xml:space="preserve">Jackson, </w:t>
      </w:r>
      <w:r w:rsidRPr="00A57988">
        <w:rPr>
          <w:i/>
          <w:color w:val="000000" w:themeColor="text1"/>
        </w:rPr>
        <w:t xml:space="preserve">Writing the War on Terrorism </w:t>
      </w:r>
      <w:r w:rsidRPr="00A57988">
        <w:rPr>
          <w:color w:val="000000" w:themeColor="text1"/>
        </w:rPr>
        <w:t>(Manchester: Manchester University Press, 2005).</w:t>
      </w:r>
    </w:p>
  </w:endnote>
  <w:endnote w:id="81">
    <w:p w14:paraId="47C60553" w14:textId="77777777" w:rsidR="001978B5" w:rsidRPr="00A57988" w:rsidRDefault="001978B5" w:rsidP="001978B5">
      <w:pPr>
        <w:pStyle w:val="EndnoteText"/>
      </w:pPr>
      <w:r w:rsidRPr="00A57988">
        <w:rPr>
          <w:rStyle w:val="EndnoteReference"/>
        </w:rPr>
        <w:endnoteRef/>
      </w:r>
      <w:r w:rsidRPr="00A57988">
        <w:t xml:space="preserve"> Richard </w:t>
      </w:r>
      <w:r w:rsidRPr="00A57988">
        <w:rPr>
          <w:color w:val="000000" w:themeColor="text1"/>
        </w:rPr>
        <w:t xml:space="preserve">Jackson, ‘Culture, Identity and Hegemony’, </w:t>
      </w:r>
      <w:r w:rsidRPr="00A57988">
        <w:rPr>
          <w:i/>
          <w:color w:val="000000" w:themeColor="text1"/>
        </w:rPr>
        <w:t>International Politics</w:t>
      </w:r>
      <w:r w:rsidRPr="00A57988">
        <w:rPr>
          <w:color w:val="000000" w:themeColor="text1"/>
        </w:rPr>
        <w:t xml:space="preserve"> 48, no. 2 (2011): 390.</w:t>
      </w:r>
    </w:p>
  </w:endnote>
  <w:endnote w:id="82">
    <w:p w14:paraId="12C718F9" w14:textId="77777777" w:rsidR="001978B5" w:rsidRPr="00A57988" w:rsidRDefault="001978B5" w:rsidP="001978B5">
      <w:pPr>
        <w:pStyle w:val="EndnoteText"/>
      </w:pPr>
      <w:r w:rsidRPr="00A57988">
        <w:rPr>
          <w:rStyle w:val="EndnoteReference"/>
        </w:rPr>
        <w:endnoteRef/>
      </w:r>
      <w:r w:rsidRPr="00A57988">
        <w:t xml:space="preserve"> Bachman, ‘</w:t>
      </w:r>
      <w:r w:rsidRPr="00A57988">
        <w:rPr>
          <w:shd w:val="clear" w:color="auto" w:fill="FFFFFF"/>
        </w:rPr>
        <w:t>The Lawfulness of Targeted Killing Operations</w:t>
      </w:r>
      <w:r>
        <w:rPr>
          <w:shd w:val="clear" w:color="auto" w:fill="FFFFFF"/>
        </w:rPr>
        <w:t>’.</w:t>
      </w:r>
    </w:p>
  </w:endnote>
  <w:endnote w:id="83">
    <w:p w14:paraId="7B15B76F" w14:textId="77777777" w:rsidR="001978B5" w:rsidRPr="00A57988" w:rsidRDefault="001978B5" w:rsidP="001978B5">
      <w:pPr>
        <w:pStyle w:val="EndnoteText"/>
      </w:pPr>
      <w:r w:rsidRPr="00A57988">
        <w:rPr>
          <w:rStyle w:val="EndnoteReference"/>
        </w:rPr>
        <w:endnoteRef/>
      </w:r>
      <w:r w:rsidRPr="00A57988">
        <w:t xml:space="preserve"> Harold Koh, ‘</w:t>
      </w:r>
      <w:r w:rsidRPr="00A57988">
        <w:rPr>
          <w:color w:val="000000" w:themeColor="text1"/>
        </w:rPr>
        <w:t>The Obama Administration and International Law’,</w:t>
      </w:r>
      <w:r>
        <w:rPr>
          <w:color w:val="000000" w:themeColor="text1"/>
        </w:rPr>
        <w:t xml:space="preserve"> </w:t>
      </w:r>
      <w:r w:rsidRPr="00A57988">
        <w:rPr>
          <w:color w:val="000000" w:themeColor="text1"/>
        </w:rPr>
        <w:t>March</w:t>
      </w:r>
      <w:r>
        <w:rPr>
          <w:color w:val="000000" w:themeColor="text1"/>
        </w:rPr>
        <w:t xml:space="preserve"> 25,</w:t>
      </w:r>
      <w:r w:rsidRPr="00A57988">
        <w:rPr>
          <w:color w:val="000000" w:themeColor="text1"/>
        </w:rPr>
        <w:t xml:space="preserve"> 2010</w:t>
      </w:r>
      <w:r>
        <w:rPr>
          <w:color w:val="000000" w:themeColor="text1"/>
        </w:rPr>
        <w:t xml:space="preserve">, </w:t>
      </w:r>
      <w:r w:rsidRPr="001975D1">
        <w:rPr>
          <w:color w:val="000000" w:themeColor="text1"/>
        </w:rPr>
        <w:t>https://www.state.gov/documents/organization/179305.pdf</w:t>
      </w:r>
      <w:r>
        <w:rPr>
          <w:color w:val="000000" w:themeColor="text1"/>
        </w:rPr>
        <w:t xml:space="preserve"> (accessed September 1, 2018).</w:t>
      </w:r>
    </w:p>
  </w:endnote>
  <w:endnote w:id="84">
    <w:p w14:paraId="0B2B1942" w14:textId="77777777" w:rsidR="001978B5" w:rsidRPr="00A57988" w:rsidRDefault="001978B5" w:rsidP="001978B5">
      <w:pPr>
        <w:pStyle w:val="EndnoteText"/>
      </w:pPr>
      <w:r w:rsidRPr="00A57988">
        <w:rPr>
          <w:rStyle w:val="EndnoteReference"/>
        </w:rPr>
        <w:endnoteRef/>
      </w:r>
      <w:r w:rsidRPr="00A57988">
        <w:t xml:space="preserve"> John Brennan, ‘</w:t>
      </w:r>
      <w:r w:rsidRPr="00A57988">
        <w:rPr>
          <w:color w:val="000000" w:themeColor="text1"/>
        </w:rPr>
        <w:t>Strengthening Our Security by Adhering to Our Values and Laws’,</w:t>
      </w:r>
      <w:r>
        <w:rPr>
          <w:color w:val="000000" w:themeColor="text1"/>
        </w:rPr>
        <w:t xml:space="preserve"> </w:t>
      </w:r>
      <w:r w:rsidRPr="00A57988">
        <w:rPr>
          <w:color w:val="000000" w:themeColor="text1"/>
        </w:rPr>
        <w:t>September</w:t>
      </w:r>
      <w:r>
        <w:rPr>
          <w:color w:val="000000" w:themeColor="text1"/>
        </w:rPr>
        <w:t xml:space="preserve"> 16,</w:t>
      </w:r>
      <w:r w:rsidRPr="00A57988">
        <w:rPr>
          <w:color w:val="000000" w:themeColor="text1"/>
        </w:rPr>
        <w:t xml:space="preserve"> 2011</w:t>
      </w:r>
      <w:r>
        <w:rPr>
          <w:color w:val="000000" w:themeColor="text1"/>
        </w:rPr>
        <w:t xml:space="preserve">, </w:t>
      </w:r>
      <w:r w:rsidRPr="00FA5730">
        <w:rPr>
          <w:color w:val="000000" w:themeColor="text1"/>
        </w:rPr>
        <w:t>https://obamawhitehouse.archives.gov/the-press-office/2011/09/16/remarks-john-o-brennan-strengthening-our-security-adhering-our-values-an</w:t>
      </w:r>
      <w:r>
        <w:rPr>
          <w:color w:val="000000" w:themeColor="text1"/>
        </w:rPr>
        <w:t xml:space="preserve"> (accessed September 1, 2018).</w:t>
      </w:r>
    </w:p>
  </w:endnote>
  <w:endnote w:id="85">
    <w:p w14:paraId="0F74BD3D" w14:textId="77777777" w:rsidR="001978B5" w:rsidRPr="00A57988" w:rsidRDefault="001978B5" w:rsidP="001978B5">
      <w:pPr>
        <w:pStyle w:val="EndnoteText"/>
      </w:pPr>
      <w:r w:rsidRPr="00A57988">
        <w:rPr>
          <w:rStyle w:val="EndnoteReference"/>
        </w:rPr>
        <w:endnoteRef/>
      </w:r>
      <w:r w:rsidRPr="00A57988">
        <w:t xml:space="preserve"> Richard </w:t>
      </w:r>
      <w:r w:rsidRPr="00A57988">
        <w:rPr>
          <w:color w:val="000000" w:themeColor="text1"/>
        </w:rPr>
        <w:t>Jackson, ‘Writing Wars on Terrorism’. Paper prepared for the Society for Historians of American Foreign Relations Annual Conference (2005).</w:t>
      </w:r>
    </w:p>
  </w:endnote>
  <w:endnote w:id="86">
    <w:p w14:paraId="0C8C92D9" w14:textId="77777777" w:rsidR="001978B5" w:rsidRPr="00A57988" w:rsidRDefault="001978B5" w:rsidP="001978B5">
      <w:pPr>
        <w:pStyle w:val="EndnoteText"/>
        <w:rPr>
          <w:color w:val="000000" w:themeColor="text1"/>
        </w:rPr>
      </w:pPr>
      <w:r w:rsidRPr="00A57988">
        <w:rPr>
          <w:rStyle w:val="EndnoteReference"/>
        </w:rPr>
        <w:endnoteRef/>
      </w:r>
      <w:r w:rsidRPr="00A57988">
        <w:t xml:space="preserve"> Eric </w:t>
      </w:r>
      <w:r w:rsidRPr="00A57988">
        <w:rPr>
          <w:color w:val="000000" w:themeColor="text1"/>
        </w:rPr>
        <w:t xml:space="preserve">Holder, ‘Attorney General Speaks at </w:t>
      </w:r>
      <w:proofErr w:type="spellStart"/>
      <w:r w:rsidRPr="00A57988">
        <w:rPr>
          <w:color w:val="000000" w:themeColor="text1"/>
        </w:rPr>
        <w:t>Northwestern</w:t>
      </w:r>
      <w:proofErr w:type="spellEnd"/>
      <w:r w:rsidRPr="00A57988">
        <w:rPr>
          <w:color w:val="000000" w:themeColor="text1"/>
        </w:rPr>
        <w:t xml:space="preserve"> University School of Law’, March </w:t>
      </w:r>
      <w:r>
        <w:rPr>
          <w:color w:val="000000" w:themeColor="text1"/>
        </w:rPr>
        <w:t xml:space="preserve">2, </w:t>
      </w:r>
      <w:r w:rsidRPr="00A57988">
        <w:rPr>
          <w:color w:val="000000" w:themeColor="text1"/>
        </w:rPr>
        <w:t>2012</w:t>
      </w:r>
      <w:r>
        <w:rPr>
          <w:color w:val="000000" w:themeColor="text1"/>
        </w:rPr>
        <w:t xml:space="preserve">, </w:t>
      </w:r>
      <w:r w:rsidRPr="00FA5730">
        <w:rPr>
          <w:color w:val="000000" w:themeColor="text1"/>
        </w:rPr>
        <w:t>https://www.justice.gov/opa/speech/attorney-general-eric-holder-speaks-northwestern-university-school-law</w:t>
      </w:r>
      <w:r>
        <w:rPr>
          <w:color w:val="000000" w:themeColor="text1"/>
        </w:rPr>
        <w:t xml:space="preserve"> (accessed September 1, 2018)</w:t>
      </w:r>
      <w:r w:rsidRPr="00A57988">
        <w:rPr>
          <w:color w:val="000000" w:themeColor="text1"/>
        </w:rPr>
        <w:t xml:space="preserve">; </w:t>
      </w:r>
      <w:proofErr w:type="spellStart"/>
      <w:r w:rsidRPr="00A57988">
        <w:t>Jeh</w:t>
      </w:r>
      <w:proofErr w:type="spellEnd"/>
      <w:r w:rsidRPr="00A57988">
        <w:t xml:space="preserve"> </w:t>
      </w:r>
      <w:r w:rsidRPr="00A57988">
        <w:rPr>
          <w:color w:val="000000" w:themeColor="text1"/>
        </w:rPr>
        <w:t xml:space="preserve">Johnson, ‘National Security Law, Lawyers and Lawyering in the Obama Administration’, </w:t>
      </w:r>
      <w:r w:rsidRPr="00A57988">
        <w:rPr>
          <w:i/>
          <w:color w:val="000000" w:themeColor="text1"/>
        </w:rPr>
        <w:t>Yale Law &amp; Policy Review</w:t>
      </w:r>
      <w:r w:rsidRPr="00A57988">
        <w:rPr>
          <w:color w:val="000000" w:themeColor="text1"/>
        </w:rPr>
        <w:t xml:space="preserve"> 31 (2012): 147.</w:t>
      </w:r>
    </w:p>
  </w:endnote>
  <w:endnote w:id="87">
    <w:p w14:paraId="07EA3F77" w14:textId="77777777" w:rsidR="001978B5" w:rsidRPr="00A57988" w:rsidRDefault="001978B5" w:rsidP="001978B5">
      <w:pPr>
        <w:pStyle w:val="EndnoteText"/>
      </w:pPr>
      <w:r w:rsidRPr="00A57988">
        <w:rPr>
          <w:rStyle w:val="EndnoteReference"/>
        </w:rPr>
        <w:endnoteRef/>
      </w:r>
      <w:r w:rsidRPr="00A57988">
        <w:t xml:space="preserve"> Koh, ‘</w:t>
      </w:r>
      <w:r w:rsidRPr="00A57988">
        <w:rPr>
          <w:color w:val="000000" w:themeColor="text1"/>
        </w:rPr>
        <w:t>The Obama Administration</w:t>
      </w:r>
      <w:r>
        <w:rPr>
          <w:color w:val="000000" w:themeColor="text1"/>
        </w:rPr>
        <w:t xml:space="preserve"> and International Law</w:t>
      </w:r>
      <w:r w:rsidRPr="00A57988">
        <w:rPr>
          <w:color w:val="000000" w:themeColor="text1"/>
        </w:rPr>
        <w:t>’; Holder, ‘Attorney General Speaks</w:t>
      </w:r>
      <w:r>
        <w:rPr>
          <w:color w:val="000000" w:themeColor="text1"/>
        </w:rPr>
        <w:t xml:space="preserve"> at </w:t>
      </w:r>
      <w:proofErr w:type="spellStart"/>
      <w:r>
        <w:rPr>
          <w:color w:val="000000" w:themeColor="text1"/>
        </w:rPr>
        <w:t>Northwestern</w:t>
      </w:r>
      <w:proofErr w:type="spellEnd"/>
      <w:r>
        <w:rPr>
          <w:color w:val="000000" w:themeColor="text1"/>
        </w:rPr>
        <w:t xml:space="preserve"> University</w:t>
      </w:r>
      <w:r w:rsidRPr="00A57988">
        <w:rPr>
          <w:color w:val="000000" w:themeColor="text1"/>
        </w:rPr>
        <w:t>’; Johnson, ‘National Security</w:t>
      </w:r>
      <w:r>
        <w:rPr>
          <w:color w:val="000000" w:themeColor="text1"/>
        </w:rPr>
        <w:t xml:space="preserve"> Law</w:t>
      </w:r>
      <w:r w:rsidRPr="00A57988">
        <w:rPr>
          <w:color w:val="000000" w:themeColor="text1"/>
        </w:rPr>
        <w:t>’, 147.</w:t>
      </w:r>
    </w:p>
  </w:endnote>
  <w:endnote w:id="88">
    <w:p w14:paraId="40916749" w14:textId="77777777" w:rsidR="001978B5" w:rsidRPr="00A57988" w:rsidRDefault="001978B5" w:rsidP="001978B5">
      <w:pPr>
        <w:pStyle w:val="EndnoteText"/>
      </w:pPr>
      <w:r w:rsidRPr="00A57988">
        <w:rPr>
          <w:rStyle w:val="EndnoteReference"/>
        </w:rPr>
        <w:endnoteRef/>
      </w:r>
      <w:r w:rsidRPr="00A57988">
        <w:t xml:space="preserve"> Brennan, ‘</w:t>
      </w:r>
      <w:r w:rsidRPr="00A57988">
        <w:rPr>
          <w:color w:val="000000" w:themeColor="text1"/>
        </w:rPr>
        <w:t>Strengthening</w:t>
      </w:r>
      <w:r>
        <w:rPr>
          <w:color w:val="000000" w:themeColor="text1"/>
        </w:rPr>
        <w:t xml:space="preserve"> Our Security</w:t>
      </w:r>
      <w:r w:rsidRPr="00A57988">
        <w:rPr>
          <w:color w:val="000000" w:themeColor="text1"/>
        </w:rPr>
        <w:t>’.</w:t>
      </w:r>
    </w:p>
  </w:endnote>
  <w:endnote w:id="89">
    <w:p w14:paraId="2534380F" w14:textId="77777777" w:rsidR="001978B5" w:rsidRPr="00A57988" w:rsidRDefault="001978B5" w:rsidP="001978B5">
      <w:pPr>
        <w:pStyle w:val="EndnoteText"/>
      </w:pPr>
      <w:r w:rsidRPr="00A57988">
        <w:rPr>
          <w:rStyle w:val="EndnoteReference"/>
        </w:rPr>
        <w:endnoteRef/>
      </w:r>
      <w:r w:rsidRPr="00A57988">
        <w:t xml:space="preserve"> </w:t>
      </w:r>
      <w:r w:rsidRPr="00A57988">
        <w:rPr>
          <w:color w:val="000000" w:themeColor="text1"/>
        </w:rPr>
        <w:t>Holder, ‘Attorney General Speaks</w:t>
      </w:r>
      <w:r>
        <w:rPr>
          <w:color w:val="000000" w:themeColor="text1"/>
        </w:rPr>
        <w:t xml:space="preserve"> at </w:t>
      </w:r>
      <w:proofErr w:type="spellStart"/>
      <w:r>
        <w:rPr>
          <w:color w:val="000000" w:themeColor="text1"/>
        </w:rPr>
        <w:t>Northwestern</w:t>
      </w:r>
      <w:proofErr w:type="spellEnd"/>
      <w:r>
        <w:rPr>
          <w:color w:val="000000" w:themeColor="text1"/>
        </w:rPr>
        <w:t xml:space="preserve"> University</w:t>
      </w:r>
      <w:r w:rsidRPr="00A57988">
        <w:rPr>
          <w:color w:val="000000" w:themeColor="text1"/>
        </w:rPr>
        <w:t>’.</w:t>
      </w:r>
    </w:p>
  </w:endnote>
  <w:endnote w:id="90">
    <w:p w14:paraId="5F575770" w14:textId="77777777" w:rsidR="001978B5" w:rsidRPr="00A57988" w:rsidRDefault="001978B5" w:rsidP="001978B5">
      <w:pPr>
        <w:pStyle w:val="EndnoteText"/>
      </w:pPr>
      <w:r w:rsidRPr="00A57988">
        <w:rPr>
          <w:rStyle w:val="EndnoteReference"/>
        </w:rPr>
        <w:endnoteRef/>
      </w:r>
      <w:r w:rsidRPr="00A57988">
        <w:t xml:space="preserve"> </w:t>
      </w:r>
      <w:r w:rsidRPr="00A57988">
        <w:rPr>
          <w:color w:val="000000" w:themeColor="text1"/>
        </w:rPr>
        <w:t>Johnson, ‘National Security</w:t>
      </w:r>
      <w:r>
        <w:rPr>
          <w:color w:val="000000" w:themeColor="text1"/>
        </w:rPr>
        <w:t xml:space="preserve"> Law</w:t>
      </w:r>
      <w:r w:rsidRPr="00A57988">
        <w:rPr>
          <w:color w:val="000000" w:themeColor="text1"/>
        </w:rPr>
        <w:t>’.</w:t>
      </w:r>
    </w:p>
  </w:endnote>
  <w:endnote w:id="91">
    <w:p w14:paraId="34C2422C" w14:textId="77777777" w:rsidR="001978B5" w:rsidRPr="00A57988" w:rsidRDefault="001978B5" w:rsidP="001978B5">
      <w:pPr>
        <w:pStyle w:val="EndnoteText"/>
      </w:pPr>
      <w:r w:rsidRPr="00A57988">
        <w:rPr>
          <w:rStyle w:val="EndnoteReference"/>
        </w:rPr>
        <w:endnoteRef/>
      </w:r>
      <w:r w:rsidRPr="00A57988">
        <w:t xml:space="preserve"> </w:t>
      </w:r>
      <w:r w:rsidRPr="00A57988">
        <w:rPr>
          <w:color w:val="000000" w:themeColor="text1"/>
        </w:rPr>
        <w:t>Alston, ‘Study on Targeted Killings’.</w:t>
      </w:r>
    </w:p>
  </w:endnote>
  <w:endnote w:id="92">
    <w:p w14:paraId="1B716DB3" w14:textId="77777777" w:rsidR="001978B5" w:rsidRPr="00A57988" w:rsidRDefault="001978B5" w:rsidP="001978B5">
      <w:pPr>
        <w:pStyle w:val="EndnoteText"/>
      </w:pPr>
      <w:r w:rsidRPr="00A57988">
        <w:rPr>
          <w:rStyle w:val="EndnoteReference"/>
        </w:rPr>
        <w:endnoteRef/>
      </w:r>
      <w:r w:rsidRPr="00A57988">
        <w:t xml:space="preserve"> </w:t>
      </w:r>
      <w:r w:rsidRPr="00A57988">
        <w:rPr>
          <w:color w:val="000000" w:themeColor="text1"/>
        </w:rPr>
        <w:t>O’Connell, ‘Lawful Use of Combat Drones’.</w:t>
      </w:r>
    </w:p>
  </w:endnote>
  <w:endnote w:id="93">
    <w:p w14:paraId="629BAB40" w14:textId="77777777" w:rsidR="001978B5" w:rsidRPr="00A57988" w:rsidRDefault="001978B5" w:rsidP="001978B5">
      <w:pPr>
        <w:spacing w:after="0" w:line="240" w:lineRule="auto"/>
        <w:rPr>
          <w:rFonts w:ascii="Times New Roman" w:hAnsi="Times New Roman" w:cs="Times New Roman"/>
          <w:sz w:val="20"/>
          <w:szCs w:val="20"/>
        </w:rPr>
      </w:pPr>
      <w:r w:rsidRPr="00A57988">
        <w:rPr>
          <w:rStyle w:val="EndnoteReference"/>
          <w:rFonts w:ascii="Times New Roman" w:hAnsi="Times New Roman" w:cs="Times New Roman"/>
          <w:sz w:val="20"/>
          <w:szCs w:val="20"/>
        </w:rPr>
        <w:endnoteRef/>
      </w:r>
      <w:r w:rsidRPr="00A57988">
        <w:rPr>
          <w:rFonts w:ascii="Times New Roman" w:hAnsi="Times New Roman" w:cs="Times New Roman"/>
          <w:sz w:val="20"/>
          <w:szCs w:val="20"/>
        </w:rPr>
        <w:t xml:space="preserve"> Koh, ‘</w:t>
      </w:r>
      <w:r w:rsidRPr="00A57988">
        <w:rPr>
          <w:rFonts w:ascii="Times New Roman" w:hAnsi="Times New Roman" w:cs="Times New Roman"/>
          <w:color w:val="000000" w:themeColor="text1"/>
          <w:sz w:val="20"/>
          <w:szCs w:val="20"/>
        </w:rPr>
        <w:t>The Obama Administration</w:t>
      </w:r>
      <w:r>
        <w:rPr>
          <w:rFonts w:ascii="Times New Roman" w:hAnsi="Times New Roman" w:cs="Times New Roman"/>
          <w:color w:val="000000" w:themeColor="text1"/>
          <w:sz w:val="20"/>
          <w:szCs w:val="20"/>
        </w:rPr>
        <w:t xml:space="preserve"> and International Law</w:t>
      </w:r>
      <w:r w:rsidRPr="00A57988">
        <w:rPr>
          <w:rFonts w:ascii="Times New Roman" w:hAnsi="Times New Roman" w:cs="Times New Roman"/>
          <w:color w:val="000000" w:themeColor="text1"/>
          <w:sz w:val="20"/>
          <w:szCs w:val="20"/>
        </w:rPr>
        <w:t>’; Holder, ‘Attorney General Speaks</w:t>
      </w:r>
      <w:r>
        <w:rPr>
          <w:rFonts w:ascii="Times New Roman" w:hAnsi="Times New Roman" w:cs="Times New Roman"/>
          <w:color w:val="000000" w:themeColor="text1"/>
          <w:sz w:val="20"/>
          <w:szCs w:val="20"/>
        </w:rPr>
        <w:t xml:space="preserve"> at Northwestern University</w:t>
      </w:r>
      <w:r w:rsidRPr="00A57988">
        <w:rPr>
          <w:rFonts w:ascii="Times New Roman" w:hAnsi="Times New Roman" w:cs="Times New Roman"/>
          <w:color w:val="000000" w:themeColor="text1"/>
          <w:sz w:val="20"/>
          <w:szCs w:val="20"/>
        </w:rPr>
        <w:t>’; Johnson, ‘National Security</w:t>
      </w:r>
      <w:r>
        <w:rPr>
          <w:rFonts w:ascii="Times New Roman" w:hAnsi="Times New Roman" w:cs="Times New Roman"/>
          <w:color w:val="000000" w:themeColor="text1"/>
          <w:sz w:val="20"/>
          <w:szCs w:val="20"/>
        </w:rPr>
        <w:t xml:space="preserve"> Law</w:t>
      </w:r>
      <w:r w:rsidRPr="00A57988">
        <w:rPr>
          <w:rFonts w:ascii="Times New Roman" w:hAnsi="Times New Roman" w:cs="Times New Roman"/>
          <w:color w:val="000000" w:themeColor="text1"/>
          <w:sz w:val="20"/>
          <w:szCs w:val="20"/>
        </w:rPr>
        <w:t>’</w:t>
      </w:r>
      <w:r>
        <w:rPr>
          <w:rFonts w:ascii="Times New Roman" w:hAnsi="Times New Roman" w:cs="Times New Roman"/>
          <w:color w:val="000000" w:themeColor="text1"/>
          <w:sz w:val="20"/>
          <w:szCs w:val="20"/>
        </w:rPr>
        <w:t>;</w:t>
      </w:r>
      <w:r w:rsidRPr="00A57988">
        <w:rPr>
          <w:rFonts w:ascii="Times New Roman" w:hAnsi="Times New Roman" w:cs="Times New Roman"/>
          <w:sz w:val="20"/>
          <w:szCs w:val="20"/>
        </w:rPr>
        <w:t xml:space="preserve"> Brennan, ‘</w:t>
      </w:r>
      <w:r w:rsidRPr="00A57988">
        <w:rPr>
          <w:rFonts w:ascii="Times New Roman" w:hAnsi="Times New Roman" w:cs="Times New Roman"/>
          <w:color w:val="000000" w:themeColor="text1"/>
          <w:sz w:val="20"/>
          <w:szCs w:val="20"/>
        </w:rPr>
        <w:t>Strengthening</w:t>
      </w:r>
      <w:r>
        <w:rPr>
          <w:rFonts w:ascii="Times New Roman" w:hAnsi="Times New Roman" w:cs="Times New Roman"/>
          <w:color w:val="000000" w:themeColor="text1"/>
          <w:sz w:val="20"/>
          <w:szCs w:val="20"/>
        </w:rPr>
        <w:t xml:space="preserve"> Our Security</w:t>
      </w:r>
      <w:r w:rsidRPr="00A57988">
        <w:rPr>
          <w:rFonts w:ascii="Times New Roman" w:hAnsi="Times New Roman" w:cs="Times New Roman"/>
          <w:color w:val="000000" w:themeColor="text1"/>
          <w:sz w:val="20"/>
          <w:szCs w:val="20"/>
        </w:rPr>
        <w:t>’.</w:t>
      </w:r>
    </w:p>
  </w:endnote>
  <w:endnote w:id="94">
    <w:p w14:paraId="0905A140" w14:textId="77777777" w:rsidR="001978B5" w:rsidRPr="00A57988" w:rsidRDefault="001978B5" w:rsidP="001978B5">
      <w:pPr>
        <w:pStyle w:val="EndnoteText"/>
      </w:pPr>
      <w:r w:rsidRPr="00A57988">
        <w:rPr>
          <w:rStyle w:val="EndnoteReference"/>
        </w:rPr>
        <w:endnoteRef/>
      </w:r>
      <w:r w:rsidRPr="00A57988">
        <w:t xml:space="preserve"> Koh, </w:t>
      </w:r>
      <w:r>
        <w:t>‘</w:t>
      </w:r>
      <w:r w:rsidRPr="00A57988">
        <w:rPr>
          <w:color w:val="000000" w:themeColor="text1"/>
        </w:rPr>
        <w:t>The Obama Administration</w:t>
      </w:r>
      <w:r>
        <w:rPr>
          <w:color w:val="000000" w:themeColor="text1"/>
        </w:rPr>
        <w:t xml:space="preserve"> and International Law</w:t>
      </w:r>
      <w:r w:rsidRPr="00A57988">
        <w:rPr>
          <w:color w:val="000000" w:themeColor="text1"/>
        </w:rPr>
        <w:t>’</w:t>
      </w:r>
      <w:r>
        <w:rPr>
          <w:color w:val="000000" w:themeColor="text1"/>
        </w:rPr>
        <w:t>.</w:t>
      </w:r>
    </w:p>
  </w:endnote>
  <w:endnote w:id="95">
    <w:p w14:paraId="3807D66A" w14:textId="77777777" w:rsidR="001978B5" w:rsidRPr="00A57988" w:rsidRDefault="001978B5" w:rsidP="001978B5">
      <w:pPr>
        <w:pStyle w:val="EndnoteText"/>
      </w:pPr>
      <w:r w:rsidRPr="00A57988">
        <w:rPr>
          <w:rStyle w:val="EndnoteReference"/>
        </w:rPr>
        <w:endnoteRef/>
      </w:r>
      <w:r w:rsidRPr="00A57988">
        <w:t xml:space="preserve"> </w:t>
      </w:r>
      <w:r w:rsidRPr="00A57988">
        <w:rPr>
          <w:color w:val="000000" w:themeColor="text1"/>
        </w:rPr>
        <w:t>Holder, ‘Attorney General Speaks</w:t>
      </w:r>
      <w:r>
        <w:rPr>
          <w:color w:val="000000" w:themeColor="text1"/>
        </w:rPr>
        <w:t xml:space="preserve"> at </w:t>
      </w:r>
      <w:proofErr w:type="spellStart"/>
      <w:r>
        <w:rPr>
          <w:color w:val="000000" w:themeColor="text1"/>
        </w:rPr>
        <w:t>Northwestern</w:t>
      </w:r>
      <w:proofErr w:type="spellEnd"/>
      <w:r>
        <w:rPr>
          <w:color w:val="000000" w:themeColor="text1"/>
        </w:rPr>
        <w:t xml:space="preserve"> University</w:t>
      </w:r>
      <w:r w:rsidRPr="00A57988">
        <w:rPr>
          <w:color w:val="000000" w:themeColor="text1"/>
        </w:rPr>
        <w:t>’.</w:t>
      </w:r>
    </w:p>
  </w:endnote>
  <w:endnote w:id="96">
    <w:p w14:paraId="1FB962E6" w14:textId="77777777" w:rsidR="001978B5" w:rsidRPr="00A57988" w:rsidRDefault="001978B5" w:rsidP="001978B5">
      <w:pPr>
        <w:pStyle w:val="EndnoteText"/>
        <w:rPr>
          <w:color w:val="000000" w:themeColor="text1"/>
        </w:rPr>
      </w:pPr>
      <w:r w:rsidRPr="00A57988">
        <w:rPr>
          <w:rStyle w:val="EndnoteReference"/>
        </w:rPr>
        <w:endnoteRef/>
      </w:r>
      <w:r w:rsidRPr="00A57988">
        <w:t xml:space="preserve"> Koh, ‘</w:t>
      </w:r>
      <w:r w:rsidRPr="00A57988">
        <w:rPr>
          <w:color w:val="000000" w:themeColor="text1"/>
        </w:rPr>
        <w:t>The Obama Administration</w:t>
      </w:r>
      <w:r>
        <w:rPr>
          <w:color w:val="000000" w:themeColor="text1"/>
        </w:rPr>
        <w:t xml:space="preserve"> and International Law</w:t>
      </w:r>
      <w:r w:rsidRPr="00A57988">
        <w:rPr>
          <w:color w:val="000000" w:themeColor="text1"/>
        </w:rPr>
        <w:t>’.</w:t>
      </w:r>
    </w:p>
  </w:endnote>
  <w:endnote w:id="97">
    <w:p w14:paraId="2613C27C" w14:textId="77777777" w:rsidR="001978B5" w:rsidRPr="00A57988" w:rsidRDefault="001978B5" w:rsidP="001978B5">
      <w:pPr>
        <w:pStyle w:val="EndnoteText"/>
      </w:pPr>
      <w:r w:rsidRPr="00A57988">
        <w:rPr>
          <w:rStyle w:val="EndnoteReference"/>
        </w:rPr>
        <w:endnoteRef/>
      </w:r>
      <w:r w:rsidRPr="00A57988">
        <w:t xml:space="preserve"> </w:t>
      </w:r>
      <w:r w:rsidRPr="00A57988">
        <w:rPr>
          <w:color w:val="000000" w:themeColor="text1"/>
        </w:rPr>
        <w:t>O’Connell, ‘Lawful Use of Combat Drones’.</w:t>
      </w:r>
    </w:p>
  </w:endnote>
  <w:endnote w:id="98">
    <w:p w14:paraId="2B26ED57" w14:textId="77777777" w:rsidR="001978B5" w:rsidRPr="00A57988" w:rsidRDefault="001978B5" w:rsidP="001978B5">
      <w:pPr>
        <w:pStyle w:val="EndnoteText"/>
      </w:pPr>
      <w:r w:rsidRPr="00A57988">
        <w:rPr>
          <w:rStyle w:val="EndnoteReference"/>
        </w:rPr>
        <w:endnoteRef/>
      </w:r>
      <w:r w:rsidRPr="00A57988">
        <w:t xml:space="preserve"> Obama, ‘The Future</w:t>
      </w:r>
      <w:r>
        <w:t xml:space="preserve"> of Our Fight</w:t>
      </w:r>
      <w:r w:rsidRPr="00A57988">
        <w:t>’</w:t>
      </w:r>
      <w:r w:rsidRPr="00A57988">
        <w:rPr>
          <w:color w:val="000000" w:themeColor="text1"/>
        </w:rPr>
        <w:t>.</w:t>
      </w:r>
    </w:p>
  </w:endnote>
  <w:endnote w:id="99">
    <w:p w14:paraId="0F6BDD6D" w14:textId="77777777" w:rsidR="001978B5" w:rsidRPr="00A57988" w:rsidRDefault="001978B5" w:rsidP="001978B5">
      <w:pPr>
        <w:pStyle w:val="EndnoteText"/>
      </w:pPr>
      <w:r w:rsidRPr="00A57988">
        <w:rPr>
          <w:rStyle w:val="EndnoteReference"/>
        </w:rPr>
        <w:endnoteRef/>
      </w:r>
      <w:r w:rsidRPr="00A57988">
        <w:t xml:space="preserve"> Brennan, ‘</w:t>
      </w:r>
      <w:r w:rsidRPr="00A57988">
        <w:rPr>
          <w:color w:val="000000" w:themeColor="text1"/>
        </w:rPr>
        <w:t>Strengthening</w:t>
      </w:r>
      <w:r>
        <w:rPr>
          <w:color w:val="000000" w:themeColor="text1"/>
        </w:rPr>
        <w:t xml:space="preserve"> Our Security</w:t>
      </w:r>
      <w:r w:rsidRPr="00A57988">
        <w:rPr>
          <w:color w:val="000000" w:themeColor="text1"/>
        </w:rPr>
        <w:t>’.</w:t>
      </w:r>
    </w:p>
  </w:endnote>
  <w:endnote w:id="100">
    <w:p w14:paraId="381A68A1" w14:textId="77777777" w:rsidR="001978B5" w:rsidRPr="00A57988" w:rsidRDefault="001978B5" w:rsidP="001978B5">
      <w:pPr>
        <w:pStyle w:val="EndnoteText"/>
      </w:pPr>
      <w:r w:rsidRPr="00A57988">
        <w:rPr>
          <w:rStyle w:val="EndnoteReference"/>
        </w:rPr>
        <w:endnoteRef/>
      </w:r>
      <w:r w:rsidRPr="00A57988">
        <w:t xml:space="preserve"> </w:t>
      </w:r>
      <w:r w:rsidRPr="00A57988">
        <w:rPr>
          <w:color w:val="000000" w:themeColor="text1"/>
        </w:rPr>
        <w:t>Holder, ‘Attorney General Speaks</w:t>
      </w:r>
      <w:r>
        <w:rPr>
          <w:color w:val="000000" w:themeColor="text1"/>
        </w:rPr>
        <w:t xml:space="preserve"> at </w:t>
      </w:r>
      <w:proofErr w:type="spellStart"/>
      <w:r>
        <w:rPr>
          <w:color w:val="000000" w:themeColor="text1"/>
        </w:rPr>
        <w:t>Northwestern</w:t>
      </w:r>
      <w:proofErr w:type="spellEnd"/>
      <w:r>
        <w:rPr>
          <w:color w:val="000000" w:themeColor="text1"/>
        </w:rPr>
        <w:t xml:space="preserve"> University</w:t>
      </w:r>
      <w:r w:rsidRPr="00A57988">
        <w:rPr>
          <w:color w:val="000000" w:themeColor="text1"/>
        </w:rPr>
        <w:t>’.</w:t>
      </w:r>
    </w:p>
  </w:endnote>
  <w:endnote w:id="101">
    <w:p w14:paraId="682CADA5" w14:textId="77777777" w:rsidR="001978B5" w:rsidRPr="00A57988" w:rsidRDefault="001978B5" w:rsidP="001978B5">
      <w:pPr>
        <w:pStyle w:val="EndnoteText"/>
      </w:pPr>
      <w:r w:rsidRPr="00A57988">
        <w:rPr>
          <w:rStyle w:val="EndnoteReference"/>
        </w:rPr>
        <w:endnoteRef/>
      </w:r>
      <w:r w:rsidRPr="00A57988">
        <w:t xml:space="preserve"> Ibid.</w:t>
      </w:r>
    </w:p>
  </w:endnote>
  <w:endnote w:id="102">
    <w:p w14:paraId="150E85E2" w14:textId="77777777" w:rsidR="001978B5" w:rsidRPr="00A57988" w:rsidRDefault="001978B5" w:rsidP="001978B5">
      <w:pPr>
        <w:pStyle w:val="EndnoteText"/>
      </w:pPr>
      <w:r w:rsidRPr="00A57988">
        <w:rPr>
          <w:rStyle w:val="EndnoteReference"/>
        </w:rPr>
        <w:endnoteRef/>
      </w:r>
      <w:r w:rsidRPr="00A57988">
        <w:t xml:space="preserve"> Ibid.</w:t>
      </w:r>
    </w:p>
  </w:endnote>
  <w:endnote w:id="103">
    <w:p w14:paraId="6932FB00" w14:textId="77777777" w:rsidR="001978B5" w:rsidRPr="00A57988" w:rsidRDefault="001978B5" w:rsidP="001978B5">
      <w:pPr>
        <w:pStyle w:val="EndnoteText"/>
      </w:pPr>
      <w:r w:rsidRPr="00A57988">
        <w:rPr>
          <w:rStyle w:val="EndnoteReference"/>
        </w:rPr>
        <w:endnoteRef/>
      </w:r>
      <w:r w:rsidRPr="00A57988">
        <w:t xml:space="preserve"> John Brennan, ‘</w:t>
      </w:r>
      <w:r w:rsidRPr="00A57988">
        <w:rPr>
          <w:color w:val="000000" w:themeColor="text1"/>
          <w:shd w:val="clear" w:color="auto" w:fill="FFFFFF"/>
        </w:rPr>
        <w:t xml:space="preserve">The Efficacy and Ethics of U.S. Counterterrorism Strategy’, </w:t>
      </w:r>
      <w:r w:rsidRPr="00A57988">
        <w:rPr>
          <w:i/>
          <w:color w:val="000000" w:themeColor="text1"/>
          <w:shd w:val="clear" w:color="auto" w:fill="FFFFFF"/>
        </w:rPr>
        <w:t xml:space="preserve">The Wilson </w:t>
      </w:r>
      <w:proofErr w:type="spellStart"/>
      <w:r w:rsidRPr="00A57988">
        <w:rPr>
          <w:i/>
          <w:color w:val="000000" w:themeColor="text1"/>
          <w:shd w:val="clear" w:color="auto" w:fill="FFFFFF"/>
        </w:rPr>
        <w:t>Center</w:t>
      </w:r>
      <w:proofErr w:type="spellEnd"/>
      <w:r w:rsidRPr="00A57988">
        <w:rPr>
          <w:color w:val="000000" w:themeColor="text1"/>
          <w:shd w:val="clear" w:color="auto" w:fill="FFFFFF"/>
        </w:rPr>
        <w:t>, 30 April 2012. Available at: www.wilsoncenter.org/event/the-efficacy-and-ethics-us-counterterrorism-strategy.</w:t>
      </w:r>
    </w:p>
  </w:endnote>
  <w:endnote w:id="104">
    <w:p w14:paraId="63D42F46" w14:textId="77777777" w:rsidR="001978B5" w:rsidRPr="00A57988" w:rsidRDefault="001978B5" w:rsidP="001978B5">
      <w:pPr>
        <w:pStyle w:val="EndnoteText"/>
      </w:pPr>
      <w:r w:rsidRPr="00A57988">
        <w:rPr>
          <w:rStyle w:val="EndnoteReference"/>
        </w:rPr>
        <w:endnoteRef/>
      </w:r>
      <w:r w:rsidRPr="00A57988">
        <w:t xml:space="preserve"> Ibid.</w:t>
      </w:r>
    </w:p>
  </w:endnote>
  <w:endnote w:id="105">
    <w:p w14:paraId="5E268F6E" w14:textId="77777777" w:rsidR="001978B5" w:rsidRPr="00A57988" w:rsidRDefault="001978B5" w:rsidP="001978B5">
      <w:pPr>
        <w:pStyle w:val="EndnoteText"/>
      </w:pPr>
      <w:r w:rsidRPr="00A57988">
        <w:rPr>
          <w:rStyle w:val="EndnoteReference"/>
        </w:rPr>
        <w:endnoteRef/>
      </w:r>
      <w:r w:rsidRPr="00A57988">
        <w:t xml:space="preserve"> </w:t>
      </w:r>
      <w:r w:rsidRPr="00A57988">
        <w:rPr>
          <w:color w:val="000000" w:themeColor="text1"/>
        </w:rPr>
        <w:t>Holder, ‘Attorney General Speaks</w:t>
      </w:r>
      <w:r>
        <w:rPr>
          <w:color w:val="000000" w:themeColor="text1"/>
        </w:rPr>
        <w:t xml:space="preserve"> at </w:t>
      </w:r>
      <w:proofErr w:type="spellStart"/>
      <w:r>
        <w:rPr>
          <w:color w:val="000000" w:themeColor="text1"/>
        </w:rPr>
        <w:t>Northwestern</w:t>
      </w:r>
      <w:proofErr w:type="spellEnd"/>
      <w:r>
        <w:rPr>
          <w:color w:val="000000" w:themeColor="text1"/>
        </w:rPr>
        <w:t xml:space="preserve"> University</w:t>
      </w:r>
      <w:r w:rsidRPr="00A57988">
        <w:rPr>
          <w:color w:val="000000" w:themeColor="text1"/>
        </w:rPr>
        <w:t>’.</w:t>
      </w:r>
    </w:p>
  </w:endnote>
  <w:endnote w:id="106">
    <w:p w14:paraId="08596A99" w14:textId="77777777" w:rsidR="001978B5" w:rsidRPr="00A57988" w:rsidRDefault="001978B5" w:rsidP="001978B5">
      <w:pPr>
        <w:pStyle w:val="EndnoteText"/>
      </w:pPr>
      <w:r w:rsidRPr="00A57988">
        <w:rPr>
          <w:rStyle w:val="EndnoteReference"/>
        </w:rPr>
        <w:endnoteRef/>
      </w:r>
      <w:r w:rsidRPr="00A57988">
        <w:t xml:space="preserve"> Brennan, ‘</w:t>
      </w:r>
      <w:r w:rsidRPr="00A57988">
        <w:rPr>
          <w:color w:val="000000" w:themeColor="text1"/>
          <w:shd w:val="clear" w:color="auto" w:fill="FFFFFF"/>
        </w:rPr>
        <w:t>The Efficacy</w:t>
      </w:r>
      <w:r>
        <w:rPr>
          <w:color w:val="000000" w:themeColor="text1"/>
          <w:shd w:val="clear" w:color="auto" w:fill="FFFFFF"/>
        </w:rPr>
        <w:t xml:space="preserve"> of Our Fight</w:t>
      </w:r>
      <w:r w:rsidRPr="00A57988">
        <w:rPr>
          <w:color w:val="000000" w:themeColor="text1"/>
          <w:shd w:val="clear" w:color="auto" w:fill="FFFFFF"/>
        </w:rPr>
        <w:t>’.</w:t>
      </w:r>
    </w:p>
  </w:endnote>
  <w:endnote w:id="107">
    <w:p w14:paraId="695B17D1" w14:textId="77777777" w:rsidR="001978B5" w:rsidRPr="00A57988" w:rsidRDefault="001978B5" w:rsidP="001978B5">
      <w:pPr>
        <w:pStyle w:val="EndnoteText"/>
      </w:pPr>
      <w:r w:rsidRPr="00A57988">
        <w:rPr>
          <w:rStyle w:val="EndnoteReference"/>
        </w:rPr>
        <w:endnoteRef/>
      </w:r>
      <w:r w:rsidRPr="00A57988">
        <w:t xml:space="preserve"> Obama, ‘The Future</w:t>
      </w:r>
      <w:r>
        <w:t xml:space="preserve"> of Our Fight</w:t>
      </w:r>
      <w:r w:rsidRPr="00A57988">
        <w:t>’</w:t>
      </w:r>
      <w:r w:rsidRPr="00A57988">
        <w:rPr>
          <w:color w:val="000000" w:themeColor="text1"/>
        </w:rPr>
        <w:t>.</w:t>
      </w:r>
    </w:p>
  </w:endnote>
  <w:endnote w:id="108">
    <w:p w14:paraId="66AD9B85" w14:textId="77777777" w:rsidR="001978B5" w:rsidRPr="00A57988" w:rsidRDefault="001978B5" w:rsidP="001978B5">
      <w:pPr>
        <w:pStyle w:val="EndnoteText"/>
      </w:pPr>
      <w:r w:rsidRPr="00A57988">
        <w:rPr>
          <w:rStyle w:val="EndnoteReference"/>
        </w:rPr>
        <w:endnoteRef/>
      </w:r>
      <w:r w:rsidRPr="00A57988">
        <w:t xml:space="preserve"> </w:t>
      </w:r>
      <w:r w:rsidRPr="00A57988">
        <w:rPr>
          <w:color w:val="000000" w:themeColor="text1"/>
        </w:rPr>
        <w:t>Holder, ‘Attorney General Speaks</w:t>
      </w:r>
      <w:r>
        <w:rPr>
          <w:color w:val="000000" w:themeColor="text1"/>
        </w:rPr>
        <w:t xml:space="preserve"> at </w:t>
      </w:r>
      <w:proofErr w:type="spellStart"/>
      <w:r>
        <w:rPr>
          <w:color w:val="000000" w:themeColor="text1"/>
        </w:rPr>
        <w:t>Northwestern</w:t>
      </w:r>
      <w:proofErr w:type="spellEnd"/>
      <w:r>
        <w:rPr>
          <w:color w:val="000000" w:themeColor="text1"/>
        </w:rPr>
        <w:t xml:space="preserve"> University</w:t>
      </w:r>
      <w:r w:rsidRPr="00A57988">
        <w:rPr>
          <w:color w:val="000000" w:themeColor="text1"/>
        </w:rPr>
        <w:t>’.</w:t>
      </w:r>
    </w:p>
  </w:endnote>
  <w:endnote w:id="109">
    <w:p w14:paraId="2D341B0E" w14:textId="77777777" w:rsidR="001978B5" w:rsidRPr="00A57988" w:rsidRDefault="001978B5" w:rsidP="001978B5">
      <w:pPr>
        <w:pStyle w:val="EndnoteText"/>
      </w:pPr>
      <w:r w:rsidRPr="00A57988">
        <w:rPr>
          <w:rStyle w:val="EndnoteReference"/>
        </w:rPr>
        <w:endnoteRef/>
      </w:r>
      <w:r w:rsidRPr="00A57988">
        <w:t xml:space="preserve"> Obama, ‘The Future</w:t>
      </w:r>
      <w:r>
        <w:t xml:space="preserve"> of Our Fight</w:t>
      </w:r>
      <w:r w:rsidRPr="00A57988">
        <w:t>’</w:t>
      </w:r>
      <w:r w:rsidRPr="00A57988">
        <w:rPr>
          <w:color w:val="000000" w:themeColor="text1"/>
        </w:rPr>
        <w:t>.</w:t>
      </w:r>
    </w:p>
  </w:endnote>
  <w:endnote w:id="110">
    <w:p w14:paraId="42FEA47A" w14:textId="77777777" w:rsidR="001978B5" w:rsidRPr="00A57988" w:rsidRDefault="001978B5" w:rsidP="001978B5">
      <w:pPr>
        <w:pStyle w:val="EndnoteText"/>
      </w:pPr>
      <w:r w:rsidRPr="00A57988">
        <w:rPr>
          <w:rStyle w:val="EndnoteReference"/>
        </w:rPr>
        <w:endnoteRef/>
      </w:r>
      <w:r w:rsidRPr="00A57988">
        <w:t xml:space="preserve"> Brennan, ‘</w:t>
      </w:r>
      <w:r w:rsidRPr="00A57988">
        <w:rPr>
          <w:color w:val="000000" w:themeColor="text1"/>
          <w:shd w:val="clear" w:color="auto" w:fill="FFFFFF"/>
        </w:rPr>
        <w:t>The Efficacy</w:t>
      </w:r>
      <w:r>
        <w:rPr>
          <w:color w:val="000000" w:themeColor="text1"/>
          <w:shd w:val="clear" w:color="auto" w:fill="FFFFFF"/>
        </w:rPr>
        <w:t xml:space="preserve"> of Our Fight</w:t>
      </w:r>
      <w:r w:rsidRPr="00A57988">
        <w:rPr>
          <w:color w:val="000000" w:themeColor="text1"/>
          <w:shd w:val="clear" w:color="auto" w:fill="FFFFFF"/>
        </w:rPr>
        <w:t>’.</w:t>
      </w:r>
    </w:p>
  </w:endnote>
  <w:endnote w:id="111">
    <w:p w14:paraId="3DF8C598" w14:textId="77777777" w:rsidR="001978B5" w:rsidRPr="00A57988" w:rsidRDefault="001978B5" w:rsidP="001978B5">
      <w:pPr>
        <w:pStyle w:val="EndnoteText"/>
      </w:pPr>
      <w:r w:rsidRPr="00A57988">
        <w:rPr>
          <w:rStyle w:val="EndnoteReference"/>
        </w:rPr>
        <w:endnoteRef/>
      </w:r>
      <w:r w:rsidRPr="00A57988">
        <w:t xml:space="preserve"> Koh, ‘</w:t>
      </w:r>
      <w:r w:rsidRPr="00A57988">
        <w:rPr>
          <w:color w:val="000000" w:themeColor="text1"/>
        </w:rPr>
        <w:t>The Obama Administration</w:t>
      </w:r>
      <w:r>
        <w:rPr>
          <w:color w:val="000000" w:themeColor="text1"/>
        </w:rPr>
        <w:t xml:space="preserve"> and International Law</w:t>
      </w:r>
      <w:r w:rsidRPr="00A57988">
        <w:rPr>
          <w:color w:val="000000" w:themeColor="text1"/>
        </w:rPr>
        <w:t>’.</w:t>
      </w:r>
    </w:p>
  </w:endnote>
  <w:endnote w:id="112">
    <w:p w14:paraId="0BC139EE" w14:textId="77777777" w:rsidR="001978B5" w:rsidRPr="00426ABE" w:rsidRDefault="001978B5" w:rsidP="001978B5">
      <w:pPr>
        <w:pStyle w:val="EndnoteText"/>
      </w:pPr>
      <w:r w:rsidRPr="00A57988">
        <w:rPr>
          <w:rStyle w:val="EndnoteReference"/>
        </w:rPr>
        <w:endnoteRef/>
      </w:r>
      <w:r w:rsidRPr="00A57988">
        <w:t xml:space="preserve"> Brennan, ‘</w:t>
      </w:r>
      <w:r w:rsidRPr="00A57988">
        <w:rPr>
          <w:color w:val="000000" w:themeColor="text1"/>
          <w:shd w:val="clear" w:color="auto" w:fill="FFFFFF"/>
        </w:rPr>
        <w:t>The Efficacy</w:t>
      </w:r>
      <w:r>
        <w:rPr>
          <w:color w:val="000000" w:themeColor="text1"/>
          <w:shd w:val="clear" w:color="auto" w:fill="FFFFFF"/>
        </w:rPr>
        <w:t xml:space="preserve"> of Our Fight</w:t>
      </w:r>
      <w:r w:rsidRPr="00A57988">
        <w:rPr>
          <w:color w:val="000000" w:themeColor="text1"/>
          <w:shd w:val="clear" w:color="auto" w:fill="FFFFFF"/>
        </w:rPr>
        <w:t>’.</w:t>
      </w:r>
    </w:p>
  </w:endnote>
  <w:endnote w:id="113">
    <w:p w14:paraId="0ED80D8C" w14:textId="77777777" w:rsidR="001978B5" w:rsidRPr="00426ABE" w:rsidRDefault="001978B5" w:rsidP="001978B5">
      <w:pPr>
        <w:pStyle w:val="EndnoteText"/>
      </w:pPr>
      <w:r w:rsidRPr="00426ABE">
        <w:rPr>
          <w:rStyle w:val="EndnoteReference"/>
        </w:rPr>
        <w:endnoteRef/>
      </w:r>
      <w:r w:rsidRPr="00426ABE">
        <w:t xml:space="preserve"> </w:t>
      </w:r>
      <w:r w:rsidRPr="00426ABE">
        <w:rPr>
          <w:color w:val="000000" w:themeColor="text1"/>
        </w:rPr>
        <w:t>Johnson, ‘National Security Law’, 148.</w:t>
      </w:r>
    </w:p>
  </w:endnote>
  <w:endnote w:id="114">
    <w:p w14:paraId="2C216FAB" w14:textId="3C4DB18A" w:rsidR="003C1D76" w:rsidRPr="00426ABE" w:rsidRDefault="003C1D76">
      <w:pPr>
        <w:pStyle w:val="EndnoteText"/>
        <w:rPr>
          <w:lang w:val="en-US"/>
        </w:rPr>
      </w:pPr>
      <w:r w:rsidRPr="00426ABE">
        <w:rPr>
          <w:rStyle w:val="EndnoteReference"/>
        </w:rPr>
        <w:endnoteRef/>
      </w:r>
      <w:r w:rsidRPr="00426ABE">
        <w:t xml:space="preserve"> </w:t>
      </w:r>
      <w:r w:rsidRPr="00426ABE">
        <w:rPr>
          <w:lang w:val="en-US"/>
        </w:rPr>
        <w:t xml:space="preserve">Michael L. Gross, ‘Assassination and Targeted Killing: Law Enforcement, Execution or Self-Defense?’ </w:t>
      </w:r>
      <w:r w:rsidRPr="00426ABE">
        <w:rPr>
          <w:i/>
          <w:lang w:val="en-US"/>
        </w:rPr>
        <w:t>Journal of Applied Philosophy</w:t>
      </w:r>
      <w:r w:rsidRPr="00426ABE">
        <w:rPr>
          <w:lang w:val="en-US"/>
        </w:rPr>
        <w:t xml:space="preserve"> 23, no. 3 (2006): 326. </w:t>
      </w:r>
    </w:p>
  </w:endnote>
  <w:endnote w:id="115">
    <w:p w14:paraId="59932A16" w14:textId="23FE1459" w:rsidR="00DD6C27" w:rsidRPr="00426ABE" w:rsidRDefault="00DD6C27">
      <w:pPr>
        <w:pStyle w:val="EndnoteText"/>
        <w:rPr>
          <w:lang w:val="en-US"/>
        </w:rPr>
      </w:pPr>
      <w:r w:rsidRPr="00426ABE">
        <w:rPr>
          <w:rStyle w:val="EndnoteReference"/>
        </w:rPr>
        <w:endnoteRef/>
      </w:r>
      <w:r w:rsidRPr="00426ABE">
        <w:t xml:space="preserve"> Ibid.</w:t>
      </w:r>
    </w:p>
  </w:endnote>
  <w:endnote w:id="116">
    <w:p w14:paraId="26B4C284" w14:textId="20F4731E" w:rsidR="00DD6C27" w:rsidRPr="00426ABE" w:rsidRDefault="00DD6C27">
      <w:pPr>
        <w:pStyle w:val="EndnoteText"/>
        <w:rPr>
          <w:color w:val="000000" w:themeColor="text1"/>
        </w:rPr>
      </w:pPr>
      <w:r w:rsidRPr="00426ABE">
        <w:rPr>
          <w:rStyle w:val="EndnoteReference"/>
        </w:rPr>
        <w:endnoteRef/>
      </w:r>
      <w:r w:rsidRPr="00426ABE">
        <w:t xml:space="preserve"> Koh, ‘</w:t>
      </w:r>
      <w:r w:rsidRPr="00426ABE">
        <w:rPr>
          <w:color w:val="000000" w:themeColor="text1"/>
        </w:rPr>
        <w:t>The Obama Administration and International Law’.</w:t>
      </w:r>
    </w:p>
  </w:endnote>
  <w:endnote w:id="117">
    <w:p w14:paraId="51802F78" w14:textId="77777777" w:rsidR="000408BB" w:rsidRPr="00A57988" w:rsidRDefault="000408BB" w:rsidP="000408BB">
      <w:pPr>
        <w:pStyle w:val="EndnoteText"/>
      </w:pPr>
      <w:r w:rsidRPr="00426ABE">
        <w:rPr>
          <w:rStyle w:val="EndnoteReference"/>
        </w:rPr>
        <w:endnoteRef/>
      </w:r>
      <w:r w:rsidRPr="00426ABE">
        <w:t xml:space="preserve"> See, for example, Peter </w:t>
      </w:r>
      <w:proofErr w:type="spellStart"/>
      <w:r w:rsidRPr="00426ABE">
        <w:t>Malanczuk</w:t>
      </w:r>
      <w:proofErr w:type="spellEnd"/>
      <w:r w:rsidRPr="00426ABE">
        <w:t xml:space="preserve">, </w:t>
      </w:r>
      <w:proofErr w:type="spellStart"/>
      <w:r w:rsidRPr="00426ABE">
        <w:rPr>
          <w:i/>
        </w:rPr>
        <w:t>Akehurst’s</w:t>
      </w:r>
      <w:proofErr w:type="spellEnd"/>
      <w:r w:rsidRPr="00426ABE">
        <w:rPr>
          <w:i/>
        </w:rPr>
        <w:t xml:space="preserve"> Modern Introduction to International Law </w:t>
      </w:r>
      <w:r w:rsidRPr="00426ABE">
        <w:t xml:space="preserve">(London: Routledge, 1997); </w:t>
      </w:r>
      <w:proofErr w:type="spellStart"/>
      <w:r w:rsidRPr="00426ABE">
        <w:t>Martti</w:t>
      </w:r>
      <w:proofErr w:type="spellEnd"/>
      <w:r w:rsidRPr="00426ABE">
        <w:t xml:space="preserve"> </w:t>
      </w:r>
      <w:proofErr w:type="spellStart"/>
      <w:r w:rsidRPr="00426ABE">
        <w:t>Koskenniemi</w:t>
      </w:r>
      <w:proofErr w:type="spellEnd"/>
      <w:r w:rsidRPr="00426ABE">
        <w:t xml:space="preserve">, </w:t>
      </w:r>
      <w:r w:rsidRPr="00426ABE">
        <w:rPr>
          <w:i/>
        </w:rPr>
        <w:t>Sources of International Law</w:t>
      </w:r>
      <w:r w:rsidRPr="00A57988">
        <w:t xml:space="preserve"> (Burlington, VT: Ashgate/Dartmouth, 2000).</w:t>
      </w:r>
    </w:p>
  </w:endnote>
  <w:endnote w:id="118">
    <w:p w14:paraId="3DA9F3E6" w14:textId="77777777" w:rsidR="000408BB" w:rsidRPr="00A57988" w:rsidRDefault="000408BB" w:rsidP="000408BB">
      <w:pPr>
        <w:pStyle w:val="EndnoteText"/>
      </w:pPr>
      <w:r w:rsidRPr="00A57988">
        <w:rPr>
          <w:rStyle w:val="EndnoteReference"/>
        </w:rPr>
        <w:endnoteRef/>
      </w:r>
      <w:r w:rsidRPr="00A57988">
        <w:t xml:space="preserve"> Christine </w:t>
      </w:r>
      <w:proofErr w:type="spellStart"/>
      <w:r w:rsidRPr="00A57988">
        <w:t>Gray</w:t>
      </w:r>
      <w:proofErr w:type="spellEnd"/>
      <w:r w:rsidRPr="00A57988">
        <w:t xml:space="preserve">, </w:t>
      </w:r>
      <w:r>
        <w:t>‘</w:t>
      </w:r>
      <w:r w:rsidRPr="00A57988">
        <w:t>Targeted Killings: Recent US Attempts to Create a Legal Framework</w:t>
      </w:r>
      <w:r>
        <w:t>’,</w:t>
      </w:r>
      <w:r w:rsidRPr="00A57988">
        <w:t xml:space="preserve"> </w:t>
      </w:r>
      <w:r w:rsidRPr="00D5453D">
        <w:rPr>
          <w:i/>
        </w:rPr>
        <w:t>Current Legal Problems</w:t>
      </w:r>
      <w:r w:rsidRPr="00A57988">
        <w:t xml:space="preserve"> 66 (2013): 99.</w:t>
      </w:r>
    </w:p>
  </w:endnote>
  <w:endnote w:id="119">
    <w:p w14:paraId="3BFE8836" w14:textId="77777777" w:rsidR="000408BB" w:rsidRPr="00A57988" w:rsidRDefault="000408BB" w:rsidP="000408BB">
      <w:pPr>
        <w:pStyle w:val="EndnoteText"/>
      </w:pPr>
      <w:r w:rsidRPr="00A57988">
        <w:rPr>
          <w:rStyle w:val="EndnoteReference"/>
        </w:rPr>
        <w:endnoteRef/>
      </w:r>
      <w:r w:rsidRPr="00A57988">
        <w:t xml:space="preserve"> </w:t>
      </w:r>
      <w:r w:rsidRPr="00A57988">
        <w:rPr>
          <w:color w:val="000000" w:themeColor="text1"/>
        </w:rPr>
        <w:t>Alston, ‘Study on Targeted Killings’.</w:t>
      </w:r>
    </w:p>
  </w:endnote>
  <w:endnote w:id="120">
    <w:p w14:paraId="2EBC484D" w14:textId="77777777" w:rsidR="000408BB" w:rsidRPr="00A57988" w:rsidRDefault="000408BB" w:rsidP="000408BB">
      <w:pPr>
        <w:pStyle w:val="EndnoteText"/>
      </w:pPr>
      <w:r w:rsidRPr="00A57988">
        <w:rPr>
          <w:rStyle w:val="EndnoteReference"/>
        </w:rPr>
        <w:endnoteRef/>
      </w:r>
      <w:r w:rsidRPr="00A57988">
        <w:t xml:space="preserve"> Charles de Visscher, </w:t>
      </w:r>
      <w:r w:rsidRPr="00A57988">
        <w:rPr>
          <w:i/>
        </w:rPr>
        <w:t>Theory and Reality in Public International Law</w:t>
      </w:r>
      <w:r w:rsidRPr="00A57988">
        <w:t xml:space="preserve"> (Princeton: Princeton University Press, 1957), 149.</w:t>
      </w:r>
    </w:p>
  </w:endnote>
  <w:endnote w:id="121">
    <w:p w14:paraId="082E6CCC" w14:textId="77777777" w:rsidR="000408BB" w:rsidRPr="00A57988" w:rsidRDefault="000408BB" w:rsidP="000408BB">
      <w:pPr>
        <w:pStyle w:val="EndnoteText"/>
      </w:pPr>
      <w:r w:rsidRPr="00A57988">
        <w:rPr>
          <w:rStyle w:val="EndnoteReference"/>
        </w:rPr>
        <w:endnoteRef/>
      </w:r>
      <w:r w:rsidRPr="00A57988">
        <w:t xml:space="preserve"> Daniel </w:t>
      </w:r>
      <w:proofErr w:type="spellStart"/>
      <w:r w:rsidRPr="00A57988">
        <w:t>Bodansky</w:t>
      </w:r>
      <w:proofErr w:type="spellEnd"/>
      <w:r w:rsidRPr="00A57988">
        <w:t xml:space="preserve">, ‘The Concept of Customary International Law’, </w:t>
      </w:r>
      <w:r w:rsidRPr="00A57988">
        <w:rPr>
          <w:i/>
        </w:rPr>
        <w:t>Michigan Journal of International Law</w:t>
      </w:r>
      <w:r w:rsidRPr="00A57988">
        <w:t xml:space="preserve"> 16, no. 3 (1995), 668.</w:t>
      </w:r>
    </w:p>
  </w:endnote>
  <w:endnote w:id="122">
    <w:p w14:paraId="781071C6" w14:textId="77777777" w:rsidR="000408BB" w:rsidRPr="00A57988" w:rsidRDefault="000408BB" w:rsidP="000408BB">
      <w:pPr>
        <w:pStyle w:val="EndnoteText"/>
      </w:pPr>
      <w:r w:rsidRPr="00A57988">
        <w:rPr>
          <w:rStyle w:val="EndnoteReference"/>
        </w:rPr>
        <w:endnoteRef/>
      </w:r>
      <w:r w:rsidRPr="00A57988">
        <w:t xml:space="preserve"> Anna </w:t>
      </w:r>
      <w:r w:rsidRPr="00A57988">
        <w:rPr>
          <w:color w:val="222222"/>
          <w:shd w:val="clear" w:color="auto" w:fill="FFFFFF"/>
        </w:rPr>
        <w:t xml:space="preserve">Leander and Tanja </w:t>
      </w:r>
      <w:proofErr w:type="spellStart"/>
      <w:r w:rsidRPr="00A57988">
        <w:rPr>
          <w:color w:val="222222"/>
          <w:shd w:val="clear" w:color="auto" w:fill="FFFFFF"/>
        </w:rPr>
        <w:t>Aalberts</w:t>
      </w:r>
      <w:proofErr w:type="spellEnd"/>
      <w:r w:rsidRPr="00A57988">
        <w:rPr>
          <w:color w:val="222222"/>
          <w:shd w:val="clear" w:color="auto" w:fill="FFFFFF"/>
        </w:rPr>
        <w:t>, ‘Introduction: The Co-Constitution of Legal Expertise and International Security’,</w:t>
      </w:r>
      <w:r w:rsidRPr="00A57988">
        <w:rPr>
          <w:rStyle w:val="apple-converted-space"/>
          <w:color w:val="222222"/>
          <w:shd w:val="clear" w:color="auto" w:fill="FFFFFF"/>
        </w:rPr>
        <w:t> </w:t>
      </w:r>
      <w:r w:rsidRPr="00A57988">
        <w:rPr>
          <w:i/>
          <w:iCs/>
          <w:color w:val="222222"/>
        </w:rPr>
        <w:t>Leiden Journal of International Law</w:t>
      </w:r>
      <w:r w:rsidRPr="00A57988">
        <w:rPr>
          <w:rStyle w:val="apple-converted-space"/>
          <w:color w:val="222222"/>
          <w:shd w:val="clear" w:color="auto" w:fill="FFFFFF"/>
        </w:rPr>
        <w:t> </w:t>
      </w:r>
      <w:r w:rsidRPr="00A57988">
        <w:rPr>
          <w:color w:val="222222"/>
          <w:shd w:val="clear" w:color="auto" w:fill="FFFFFF"/>
        </w:rPr>
        <w:t>26, no. 4 (2013): 783-792.</w:t>
      </w:r>
    </w:p>
  </w:endnote>
  <w:endnote w:id="123">
    <w:p w14:paraId="29E9A474" w14:textId="77777777" w:rsidR="000408BB" w:rsidRPr="00A57988" w:rsidRDefault="000408BB" w:rsidP="000408BB">
      <w:pPr>
        <w:pStyle w:val="EndnoteText"/>
      </w:pPr>
      <w:r w:rsidRPr="00A57988">
        <w:rPr>
          <w:rStyle w:val="EndnoteReference"/>
        </w:rPr>
        <w:endnoteRef/>
      </w:r>
      <w:r w:rsidRPr="00A57988">
        <w:t xml:space="preserve"> B.S. </w:t>
      </w:r>
      <w:proofErr w:type="spellStart"/>
      <w:r w:rsidRPr="00A57988">
        <w:t>Chimni</w:t>
      </w:r>
      <w:proofErr w:type="spellEnd"/>
      <w:r w:rsidRPr="00A57988">
        <w:t xml:space="preserve">, </w:t>
      </w:r>
      <w:r>
        <w:t>‘</w:t>
      </w:r>
      <w:r w:rsidRPr="00A57988">
        <w:t>Customary International Law: A Third World Perspective</w:t>
      </w:r>
      <w:r>
        <w:t>’,</w:t>
      </w:r>
      <w:r w:rsidRPr="00A57988">
        <w:t xml:space="preserve"> </w:t>
      </w:r>
      <w:r w:rsidRPr="00A57988">
        <w:rPr>
          <w:i/>
        </w:rPr>
        <w:t>The American Society of International Law</w:t>
      </w:r>
      <w:r w:rsidRPr="00A57988">
        <w:t xml:space="preserve"> 112, no. 1 (2018): 44.</w:t>
      </w:r>
    </w:p>
  </w:endnote>
  <w:endnote w:id="124">
    <w:p w14:paraId="0356C2CC" w14:textId="77777777" w:rsidR="000408BB" w:rsidRPr="00A57988" w:rsidRDefault="000408BB" w:rsidP="009F4FF6">
      <w:pPr>
        <w:spacing w:after="0" w:line="240" w:lineRule="auto"/>
        <w:rPr>
          <w:rFonts w:ascii="Times New Roman" w:hAnsi="Times New Roman" w:cs="Times New Roman"/>
          <w:sz w:val="20"/>
          <w:szCs w:val="20"/>
        </w:rPr>
      </w:pPr>
      <w:r w:rsidRPr="00A57988">
        <w:rPr>
          <w:rStyle w:val="EndnoteReference"/>
          <w:rFonts w:ascii="Times New Roman" w:hAnsi="Times New Roman" w:cs="Times New Roman"/>
          <w:sz w:val="20"/>
          <w:szCs w:val="20"/>
        </w:rPr>
        <w:endnoteRef/>
      </w:r>
      <w:r w:rsidRPr="00A57988">
        <w:rPr>
          <w:rFonts w:ascii="Times New Roman" w:hAnsi="Times New Roman" w:cs="Times New Roman"/>
          <w:sz w:val="20"/>
          <w:szCs w:val="20"/>
        </w:rPr>
        <w:t xml:space="preserve"> Susan Marks</w:t>
      </w:r>
      <w:r>
        <w:rPr>
          <w:rFonts w:ascii="Times New Roman" w:hAnsi="Times New Roman" w:cs="Times New Roman"/>
          <w:sz w:val="20"/>
          <w:szCs w:val="20"/>
        </w:rPr>
        <w:t>,</w:t>
      </w:r>
      <w:r w:rsidRPr="00A57988">
        <w:rPr>
          <w:rFonts w:ascii="Times New Roman" w:hAnsi="Times New Roman" w:cs="Times New Roman"/>
          <w:sz w:val="20"/>
          <w:szCs w:val="20"/>
        </w:rPr>
        <w:t xml:space="preserve"> ‘International Judicial Activism and the Commodity-Form Theory of International Law’, </w:t>
      </w:r>
      <w:r w:rsidRPr="00A57988">
        <w:rPr>
          <w:rFonts w:ascii="Times New Roman" w:hAnsi="Times New Roman" w:cs="Times New Roman"/>
          <w:i/>
          <w:sz w:val="20"/>
          <w:szCs w:val="20"/>
        </w:rPr>
        <w:t>The European Journal of International Law</w:t>
      </w:r>
      <w:r w:rsidRPr="00A57988">
        <w:rPr>
          <w:rFonts w:ascii="Times New Roman" w:hAnsi="Times New Roman" w:cs="Times New Roman"/>
          <w:sz w:val="20"/>
          <w:szCs w:val="20"/>
        </w:rPr>
        <w:t xml:space="preserve"> 18, no. 1 (2007): 199-211.</w:t>
      </w:r>
    </w:p>
  </w:endnote>
  <w:endnote w:id="125">
    <w:p w14:paraId="327BB89E" w14:textId="77777777" w:rsidR="000408BB" w:rsidRPr="00A57988" w:rsidRDefault="000408BB" w:rsidP="000408BB">
      <w:pPr>
        <w:pStyle w:val="EndnoteText"/>
      </w:pPr>
      <w:r w:rsidRPr="00A57988">
        <w:rPr>
          <w:rStyle w:val="EndnoteReference"/>
        </w:rPr>
        <w:endnoteRef/>
      </w:r>
      <w:r w:rsidRPr="00A57988">
        <w:t xml:space="preserve"> China </w:t>
      </w:r>
      <w:proofErr w:type="spellStart"/>
      <w:r w:rsidRPr="00A57988">
        <w:t>Miéville</w:t>
      </w:r>
      <w:proofErr w:type="spellEnd"/>
      <w:r w:rsidRPr="00A57988">
        <w:t xml:space="preserve">, </w:t>
      </w:r>
      <w:r w:rsidRPr="00A57988">
        <w:rPr>
          <w:i/>
        </w:rPr>
        <w:t>Between Equal Rights: A Marxist Theory of International Law</w:t>
      </w:r>
      <w:r w:rsidRPr="00A57988">
        <w:t xml:space="preserve"> (Chicago: Haymarket, 2006), 8.</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egoe UI">
    <w:altName w:val="Sylfaen"/>
    <w:panose1 w:val="020B0604020202020204"/>
    <w:charset w:val="00"/>
    <w:family w:val="swiss"/>
    <w:pitch w:val="variable"/>
    <w:sig w:usb0="E10022FF" w:usb1="C000E47F" w:usb2="00000029" w:usb3="00000000" w:csb0="000001DF" w:csb1="00000000"/>
  </w:font>
  <w:font w:name="Droid Serif">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7858348"/>
      <w:docPartObj>
        <w:docPartGallery w:val="Page Numbers (Bottom of Page)"/>
        <w:docPartUnique/>
      </w:docPartObj>
    </w:sdtPr>
    <w:sdtEndPr>
      <w:rPr>
        <w:noProof/>
      </w:rPr>
    </w:sdtEndPr>
    <w:sdtContent>
      <w:p w14:paraId="2480FDEE" w14:textId="561817E0" w:rsidR="00CD5AAA" w:rsidRDefault="00CD5AA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6983A4C" w14:textId="77777777" w:rsidR="00CD5AAA" w:rsidRDefault="00CD5A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AD3675" w14:textId="77777777" w:rsidR="006E03BD" w:rsidRDefault="006E03BD" w:rsidP="00A30A98">
      <w:pPr>
        <w:spacing w:after="0" w:line="240" w:lineRule="auto"/>
      </w:pPr>
      <w:r>
        <w:separator/>
      </w:r>
    </w:p>
  </w:footnote>
  <w:footnote w:type="continuationSeparator" w:id="0">
    <w:p w14:paraId="5999B1B1" w14:textId="77777777" w:rsidR="006E03BD" w:rsidRDefault="006E03BD" w:rsidP="00A30A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ED414B"/>
    <w:multiLevelType w:val="hybridMultilevel"/>
    <w:tmpl w:val="E2BA837C"/>
    <w:lvl w:ilvl="0" w:tplc="697C276C">
      <w:numFmt w:val="bullet"/>
      <w:lvlText w:val=""/>
      <w:lvlJc w:val="left"/>
      <w:pPr>
        <w:ind w:left="450" w:hanging="360"/>
      </w:pPr>
      <w:rPr>
        <w:rFonts w:ascii="Symbol" w:eastAsiaTheme="minorHAnsi" w:hAnsi="Symbol" w:cstheme="minorBidi"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 w15:restartNumberingAfterBreak="0">
    <w:nsid w:val="76195E44"/>
    <w:multiLevelType w:val="hybridMultilevel"/>
    <w:tmpl w:val="3B4E72F4"/>
    <w:lvl w:ilvl="0" w:tplc="58B800F0">
      <w:start w:val="2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559"/>
    <w:rsid w:val="000007AB"/>
    <w:rsid w:val="00013DC2"/>
    <w:rsid w:val="00016DB0"/>
    <w:rsid w:val="00024878"/>
    <w:rsid w:val="000408BB"/>
    <w:rsid w:val="00043204"/>
    <w:rsid w:val="00046F1D"/>
    <w:rsid w:val="00051906"/>
    <w:rsid w:val="00051B1E"/>
    <w:rsid w:val="000528C4"/>
    <w:rsid w:val="00065D55"/>
    <w:rsid w:val="00066B9D"/>
    <w:rsid w:val="00067D96"/>
    <w:rsid w:val="00076C04"/>
    <w:rsid w:val="00077FA2"/>
    <w:rsid w:val="000A2A0D"/>
    <w:rsid w:val="000B622E"/>
    <w:rsid w:val="000B7715"/>
    <w:rsid w:val="000C0EDE"/>
    <w:rsid w:val="000C4348"/>
    <w:rsid w:val="000D4064"/>
    <w:rsid w:val="000F1815"/>
    <w:rsid w:val="00100587"/>
    <w:rsid w:val="0010362A"/>
    <w:rsid w:val="00105BDD"/>
    <w:rsid w:val="001103F4"/>
    <w:rsid w:val="001115D7"/>
    <w:rsid w:val="0011222B"/>
    <w:rsid w:val="0011523B"/>
    <w:rsid w:val="0012416D"/>
    <w:rsid w:val="00125D11"/>
    <w:rsid w:val="001324E9"/>
    <w:rsid w:val="00133638"/>
    <w:rsid w:val="00153AD7"/>
    <w:rsid w:val="00164057"/>
    <w:rsid w:val="00165156"/>
    <w:rsid w:val="001664BB"/>
    <w:rsid w:val="001779AD"/>
    <w:rsid w:val="00181C92"/>
    <w:rsid w:val="00186026"/>
    <w:rsid w:val="001975D1"/>
    <w:rsid w:val="001978B5"/>
    <w:rsid w:val="001A43F2"/>
    <w:rsid w:val="001A4DF7"/>
    <w:rsid w:val="001B63C6"/>
    <w:rsid w:val="001B7419"/>
    <w:rsid w:val="001D6DBF"/>
    <w:rsid w:val="001D7491"/>
    <w:rsid w:val="001E3940"/>
    <w:rsid w:val="001E6F8C"/>
    <w:rsid w:val="00215F7E"/>
    <w:rsid w:val="002222EF"/>
    <w:rsid w:val="00234C5D"/>
    <w:rsid w:val="00237D84"/>
    <w:rsid w:val="00251093"/>
    <w:rsid w:val="00260F8C"/>
    <w:rsid w:val="00262C54"/>
    <w:rsid w:val="00263D12"/>
    <w:rsid w:val="00264A52"/>
    <w:rsid w:val="00264B5F"/>
    <w:rsid w:val="0028244A"/>
    <w:rsid w:val="00286C06"/>
    <w:rsid w:val="002932A0"/>
    <w:rsid w:val="002966AE"/>
    <w:rsid w:val="002A4FF1"/>
    <w:rsid w:val="002A6C92"/>
    <w:rsid w:val="002D7BB3"/>
    <w:rsid w:val="002F4C7C"/>
    <w:rsid w:val="002F6ECA"/>
    <w:rsid w:val="0030053D"/>
    <w:rsid w:val="00307B1D"/>
    <w:rsid w:val="00311C68"/>
    <w:rsid w:val="00317499"/>
    <w:rsid w:val="00321909"/>
    <w:rsid w:val="00324931"/>
    <w:rsid w:val="003366F4"/>
    <w:rsid w:val="00346B03"/>
    <w:rsid w:val="00353663"/>
    <w:rsid w:val="003573CE"/>
    <w:rsid w:val="00357430"/>
    <w:rsid w:val="00363DB6"/>
    <w:rsid w:val="00367F43"/>
    <w:rsid w:val="003706C2"/>
    <w:rsid w:val="00373706"/>
    <w:rsid w:val="00381142"/>
    <w:rsid w:val="00381334"/>
    <w:rsid w:val="00382420"/>
    <w:rsid w:val="00383591"/>
    <w:rsid w:val="003903FD"/>
    <w:rsid w:val="00396A3B"/>
    <w:rsid w:val="003979F3"/>
    <w:rsid w:val="003A3361"/>
    <w:rsid w:val="003A62BE"/>
    <w:rsid w:val="003A776C"/>
    <w:rsid w:val="003B3D39"/>
    <w:rsid w:val="003C1D76"/>
    <w:rsid w:val="003C512C"/>
    <w:rsid w:val="003C59CA"/>
    <w:rsid w:val="003D2405"/>
    <w:rsid w:val="003E02E2"/>
    <w:rsid w:val="003F118C"/>
    <w:rsid w:val="003F133F"/>
    <w:rsid w:val="003F4300"/>
    <w:rsid w:val="003F4915"/>
    <w:rsid w:val="003F7FEC"/>
    <w:rsid w:val="004148C4"/>
    <w:rsid w:val="00421572"/>
    <w:rsid w:val="00423AF9"/>
    <w:rsid w:val="00426ABE"/>
    <w:rsid w:val="00441241"/>
    <w:rsid w:val="00441FAC"/>
    <w:rsid w:val="004503C2"/>
    <w:rsid w:val="00461215"/>
    <w:rsid w:val="00461CDE"/>
    <w:rsid w:val="00463B04"/>
    <w:rsid w:val="0046424C"/>
    <w:rsid w:val="00464B01"/>
    <w:rsid w:val="00490794"/>
    <w:rsid w:val="0049127A"/>
    <w:rsid w:val="00495EB3"/>
    <w:rsid w:val="00497429"/>
    <w:rsid w:val="004976F4"/>
    <w:rsid w:val="004A0FEF"/>
    <w:rsid w:val="004A41B0"/>
    <w:rsid w:val="004A5340"/>
    <w:rsid w:val="004A74B4"/>
    <w:rsid w:val="004A7A20"/>
    <w:rsid w:val="004B3DAD"/>
    <w:rsid w:val="004B50F4"/>
    <w:rsid w:val="004C0EE3"/>
    <w:rsid w:val="004F2338"/>
    <w:rsid w:val="004F4D48"/>
    <w:rsid w:val="004F5389"/>
    <w:rsid w:val="00512BC8"/>
    <w:rsid w:val="00522710"/>
    <w:rsid w:val="005432C2"/>
    <w:rsid w:val="0055589C"/>
    <w:rsid w:val="00562F0A"/>
    <w:rsid w:val="005654EF"/>
    <w:rsid w:val="00565663"/>
    <w:rsid w:val="00565992"/>
    <w:rsid w:val="00585982"/>
    <w:rsid w:val="005927C0"/>
    <w:rsid w:val="005940E7"/>
    <w:rsid w:val="005945A0"/>
    <w:rsid w:val="0059592C"/>
    <w:rsid w:val="005A07CF"/>
    <w:rsid w:val="005A4684"/>
    <w:rsid w:val="005A54B2"/>
    <w:rsid w:val="005B096C"/>
    <w:rsid w:val="005C67B5"/>
    <w:rsid w:val="005D312C"/>
    <w:rsid w:val="005E4F39"/>
    <w:rsid w:val="00603B5B"/>
    <w:rsid w:val="00604B95"/>
    <w:rsid w:val="00604DAE"/>
    <w:rsid w:val="00614497"/>
    <w:rsid w:val="00616BE1"/>
    <w:rsid w:val="00627A81"/>
    <w:rsid w:val="00640190"/>
    <w:rsid w:val="0064132E"/>
    <w:rsid w:val="00647F9E"/>
    <w:rsid w:val="00652209"/>
    <w:rsid w:val="006634F6"/>
    <w:rsid w:val="00667341"/>
    <w:rsid w:val="00671DEE"/>
    <w:rsid w:val="00686AEB"/>
    <w:rsid w:val="00692C0E"/>
    <w:rsid w:val="00695D60"/>
    <w:rsid w:val="006A02AF"/>
    <w:rsid w:val="006A339C"/>
    <w:rsid w:val="006B1675"/>
    <w:rsid w:val="006B7E0B"/>
    <w:rsid w:val="006C05C5"/>
    <w:rsid w:val="006D3137"/>
    <w:rsid w:val="006E03BD"/>
    <w:rsid w:val="006E5B85"/>
    <w:rsid w:val="0071405B"/>
    <w:rsid w:val="00716A03"/>
    <w:rsid w:val="007301FF"/>
    <w:rsid w:val="00734A32"/>
    <w:rsid w:val="00752C60"/>
    <w:rsid w:val="00752EE9"/>
    <w:rsid w:val="00754A38"/>
    <w:rsid w:val="007567AF"/>
    <w:rsid w:val="007723E0"/>
    <w:rsid w:val="007727AE"/>
    <w:rsid w:val="007759FA"/>
    <w:rsid w:val="00781524"/>
    <w:rsid w:val="0078517F"/>
    <w:rsid w:val="00785AB4"/>
    <w:rsid w:val="00787A4C"/>
    <w:rsid w:val="00796EFF"/>
    <w:rsid w:val="007970C5"/>
    <w:rsid w:val="007A3B72"/>
    <w:rsid w:val="007C00B9"/>
    <w:rsid w:val="007D0A30"/>
    <w:rsid w:val="007D103F"/>
    <w:rsid w:val="007D4307"/>
    <w:rsid w:val="007F1013"/>
    <w:rsid w:val="008020D1"/>
    <w:rsid w:val="00804C7A"/>
    <w:rsid w:val="00851559"/>
    <w:rsid w:val="00856283"/>
    <w:rsid w:val="00860679"/>
    <w:rsid w:val="0086096C"/>
    <w:rsid w:val="00860F1A"/>
    <w:rsid w:val="00861149"/>
    <w:rsid w:val="00862FA5"/>
    <w:rsid w:val="00865867"/>
    <w:rsid w:val="00873E0D"/>
    <w:rsid w:val="008839C3"/>
    <w:rsid w:val="00887613"/>
    <w:rsid w:val="008907CC"/>
    <w:rsid w:val="0089101F"/>
    <w:rsid w:val="008A53B2"/>
    <w:rsid w:val="008A6947"/>
    <w:rsid w:val="008B3A40"/>
    <w:rsid w:val="008C0658"/>
    <w:rsid w:val="008C1893"/>
    <w:rsid w:val="008C1FB8"/>
    <w:rsid w:val="008C72AC"/>
    <w:rsid w:val="008D56C2"/>
    <w:rsid w:val="008D6F41"/>
    <w:rsid w:val="008D73EA"/>
    <w:rsid w:val="008E6E3B"/>
    <w:rsid w:val="008F14A5"/>
    <w:rsid w:val="009051CF"/>
    <w:rsid w:val="00932DB8"/>
    <w:rsid w:val="009447E1"/>
    <w:rsid w:val="00984A25"/>
    <w:rsid w:val="00986BA1"/>
    <w:rsid w:val="00995E08"/>
    <w:rsid w:val="009977C5"/>
    <w:rsid w:val="009B15A3"/>
    <w:rsid w:val="009B5578"/>
    <w:rsid w:val="009D5906"/>
    <w:rsid w:val="009E1207"/>
    <w:rsid w:val="009F4FF6"/>
    <w:rsid w:val="009F5865"/>
    <w:rsid w:val="00A10FCE"/>
    <w:rsid w:val="00A26836"/>
    <w:rsid w:val="00A30A98"/>
    <w:rsid w:val="00A376EE"/>
    <w:rsid w:val="00A47BF2"/>
    <w:rsid w:val="00A53F67"/>
    <w:rsid w:val="00A5771B"/>
    <w:rsid w:val="00A57988"/>
    <w:rsid w:val="00A62A1F"/>
    <w:rsid w:val="00A62C5B"/>
    <w:rsid w:val="00A63FB1"/>
    <w:rsid w:val="00A6577C"/>
    <w:rsid w:val="00A66858"/>
    <w:rsid w:val="00A71549"/>
    <w:rsid w:val="00A773DF"/>
    <w:rsid w:val="00A83F9E"/>
    <w:rsid w:val="00A90584"/>
    <w:rsid w:val="00A945DD"/>
    <w:rsid w:val="00A94C71"/>
    <w:rsid w:val="00AA1AF9"/>
    <w:rsid w:val="00AC24AE"/>
    <w:rsid w:val="00AD4B04"/>
    <w:rsid w:val="00AF29A9"/>
    <w:rsid w:val="00AF4F00"/>
    <w:rsid w:val="00B01731"/>
    <w:rsid w:val="00B04022"/>
    <w:rsid w:val="00B04BB6"/>
    <w:rsid w:val="00B15E2B"/>
    <w:rsid w:val="00B2390F"/>
    <w:rsid w:val="00B44320"/>
    <w:rsid w:val="00B53A26"/>
    <w:rsid w:val="00B87471"/>
    <w:rsid w:val="00B919CB"/>
    <w:rsid w:val="00B96373"/>
    <w:rsid w:val="00BA1316"/>
    <w:rsid w:val="00BB2BF9"/>
    <w:rsid w:val="00BB7787"/>
    <w:rsid w:val="00BD0C6B"/>
    <w:rsid w:val="00BD43E5"/>
    <w:rsid w:val="00BE03D8"/>
    <w:rsid w:val="00BF718A"/>
    <w:rsid w:val="00BF7B9B"/>
    <w:rsid w:val="00C255EB"/>
    <w:rsid w:val="00C30CE0"/>
    <w:rsid w:val="00C32983"/>
    <w:rsid w:val="00C43F1C"/>
    <w:rsid w:val="00C47B62"/>
    <w:rsid w:val="00C51021"/>
    <w:rsid w:val="00C6132C"/>
    <w:rsid w:val="00C71AF4"/>
    <w:rsid w:val="00C76F45"/>
    <w:rsid w:val="00C80308"/>
    <w:rsid w:val="00C83488"/>
    <w:rsid w:val="00C85238"/>
    <w:rsid w:val="00C97BC0"/>
    <w:rsid w:val="00CB39CE"/>
    <w:rsid w:val="00CB4834"/>
    <w:rsid w:val="00CC6A78"/>
    <w:rsid w:val="00CD5AAA"/>
    <w:rsid w:val="00CE3E43"/>
    <w:rsid w:val="00CE4711"/>
    <w:rsid w:val="00CE67D3"/>
    <w:rsid w:val="00CF12B0"/>
    <w:rsid w:val="00D02FAC"/>
    <w:rsid w:val="00D15FC0"/>
    <w:rsid w:val="00D2144D"/>
    <w:rsid w:val="00D237E4"/>
    <w:rsid w:val="00D27E74"/>
    <w:rsid w:val="00D36EE8"/>
    <w:rsid w:val="00D42E07"/>
    <w:rsid w:val="00D444A2"/>
    <w:rsid w:val="00D5453D"/>
    <w:rsid w:val="00D67A6F"/>
    <w:rsid w:val="00D811B2"/>
    <w:rsid w:val="00D90D55"/>
    <w:rsid w:val="00D93D60"/>
    <w:rsid w:val="00D95F13"/>
    <w:rsid w:val="00DA3A8C"/>
    <w:rsid w:val="00DA6ED2"/>
    <w:rsid w:val="00DB4790"/>
    <w:rsid w:val="00DB5420"/>
    <w:rsid w:val="00DB616C"/>
    <w:rsid w:val="00DB7F7D"/>
    <w:rsid w:val="00DC2062"/>
    <w:rsid w:val="00DD1E1E"/>
    <w:rsid w:val="00DD3592"/>
    <w:rsid w:val="00DD5B1A"/>
    <w:rsid w:val="00DD6C27"/>
    <w:rsid w:val="00DE55A4"/>
    <w:rsid w:val="00DE7FCF"/>
    <w:rsid w:val="00E13A6C"/>
    <w:rsid w:val="00E16891"/>
    <w:rsid w:val="00E2016F"/>
    <w:rsid w:val="00E20995"/>
    <w:rsid w:val="00E4093A"/>
    <w:rsid w:val="00E47DD4"/>
    <w:rsid w:val="00E52C7C"/>
    <w:rsid w:val="00E5649E"/>
    <w:rsid w:val="00E61A5E"/>
    <w:rsid w:val="00E623BA"/>
    <w:rsid w:val="00E662A2"/>
    <w:rsid w:val="00E71B63"/>
    <w:rsid w:val="00E7700F"/>
    <w:rsid w:val="00EA5929"/>
    <w:rsid w:val="00EA6773"/>
    <w:rsid w:val="00EB103A"/>
    <w:rsid w:val="00EB2129"/>
    <w:rsid w:val="00EC7DB5"/>
    <w:rsid w:val="00EE0ACA"/>
    <w:rsid w:val="00EF436A"/>
    <w:rsid w:val="00F02376"/>
    <w:rsid w:val="00F0442F"/>
    <w:rsid w:val="00F143C2"/>
    <w:rsid w:val="00F144D3"/>
    <w:rsid w:val="00F2333B"/>
    <w:rsid w:val="00F43EAF"/>
    <w:rsid w:val="00F44C0C"/>
    <w:rsid w:val="00F513CD"/>
    <w:rsid w:val="00F76E02"/>
    <w:rsid w:val="00F8527B"/>
    <w:rsid w:val="00F97CAE"/>
    <w:rsid w:val="00FA5730"/>
    <w:rsid w:val="00FB3C0D"/>
    <w:rsid w:val="00FC20EA"/>
    <w:rsid w:val="00FD74C3"/>
    <w:rsid w:val="00FE01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78272"/>
  <w15:chartTrackingRefBased/>
  <w15:docId w15:val="{D5E5477A-DDD3-4E8C-BB40-516198224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16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A30A98"/>
    <w:pPr>
      <w:spacing w:after="0" w:line="240" w:lineRule="auto"/>
    </w:pPr>
    <w:rPr>
      <w:sz w:val="20"/>
      <w:szCs w:val="20"/>
    </w:rPr>
  </w:style>
  <w:style w:type="character" w:customStyle="1" w:styleId="FootnoteTextChar">
    <w:name w:val="Footnote Text Char"/>
    <w:basedOn w:val="DefaultParagraphFont"/>
    <w:link w:val="FootnoteText"/>
    <w:rsid w:val="00A30A98"/>
    <w:rPr>
      <w:sz w:val="20"/>
      <w:szCs w:val="20"/>
    </w:rPr>
  </w:style>
  <w:style w:type="character" w:styleId="FootnoteReference">
    <w:name w:val="footnote reference"/>
    <w:basedOn w:val="DefaultParagraphFont"/>
    <w:unhideWhenUsed/>
    <w:rsid w:val="00A30A98"/>
    <w:rPr>
      <w:vertAlign w:val="superscript"/>
    </w:rPr>
  </w:style>
  <w:style w:type="character" w:styleId="Strong">
    <w:name w:val="Strong"/>
    <w:basedOn w:val="DefaultParagraphFont"/>
    <w:uiPriority w:val="22"/>
    <w:qFormat/>
    <w:rsid w:val="00EA6773"/>
    <w:rPr>
      <w:b/>
      <w:bCs/>
    </w:rPr>
  </w:style>
  <w:style w:type="paragraph" w:styleId="ListParagraph">
    <w:name w:val="List Paragraph"/>
    <w:basedOn w:val="Normal"/>
    <w:uiPriority w:val="34"/>
    <w:qFormat/>
    <w:rsid w:val="005A4684"/>
    <w:pPr>
      <w:ind w:left="720"/>
      <w:contextualSpacing/>
    </w:pPr>
  </w:style>
  <w:style w:type="paragraph" w:styleId="EndnoteText">
    <w:name w:val="endnote text"/>
    <w:basedOn w:val="Normal"/>
    <w:link w:val="EndnoteTextChar"/>
    <w:uiPriority w:val="99"/>
    <w:unhideWhenUsed/>
    <w:rsid w:val="005945A0"/>
    <w:pPr>
      <w:spacing w:after="0" w:line="240" w:lineRule="auto"/>
    </w:pPr>
    <w:rPr>
      <w:rFonts w:ascii="Times New Roman" w:eastAsia="Times New Roman" w:hAnsi="Times New Roman" w:cs="Times New Roman"/>
      <w:sz w:val="20"/>
      <w:szCs w:val="20"/>
      <w:lang w:val="en-GB"/>
    </w:rPr>
  </w:style>
  <w:style w:type="character" w:customStyle="1" w:styleId="EndnoteTextChar">
    <w:name w:val="Endnote Text Char"/>
    <w:basedOn w:val="DefaultParagraphFont"/>
    <w:link w:val="EndnoteText"/>
    <w:uiPriority w:val="99"/>
    <w:rsid w:val="005945A0"/>
    <w:rPr>
      <w:rFonts w:ascii="Times New Roman" w:eastAsia="Times New Roman" w:hAnsi="Times New Roman" w:cs="Times New Roman"/>
      <w:sz w:val="20"/>
      <w:szCs w:val="20"/>
      <w:lang w:val="en-GB"/>
    </w:rPr>
  </w:style>
  <w:style w:type="character" w:customStyle="1" w:styleId="apple-converted-space">
    <w:name w:val="apple-converted-space"/>
    <w:basedOn w:val="DefaultParagraphFont"/>
    <w:rsid w:val="00CF12B0"/>
  </w:style>
  <w:style w:type="paragraph" w:styleId="BalloonText">
    <w:name w:val="Balloon Text"/>
    <w:basedOn w:val="Normal"/>
    <w:link w:val="BalloonTextChar"/>
    <w:uiPriority w:val="99"/>
    <w:semiHidden/>
    <w:unhideWhenUsed/>
    <w:rsid w:val="00BE03D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03D8"/>
    <w:rPr>
      <w:rFonts w:ascii="Segoe UI" w:hAnsi="Segoe UI" w:cs="Segoe UI"/>
      <w:sz w:val="18"/>
      <w:szCs w:val="18"/>
    </w:rPr>
  </w:style>
  <w:style w:type="paragraph" w:styleId="Header">
    <w:name w:val="header"/>
    <w:basedOn w:val="Normal"/>
    <w:link w:val="HeaderChar"/>
    <w:uiPriority w:val="99"/>
    <w:unhideWhenUsed/>
    <w:rsid w:val="00CD5A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5AAA"/>
  </w:style>
  <w:style w:type="paragraph" w:styleId="Footer">
    <w:name w:val="footer"/>
    <w:basedOn w:val="Normal"/>
    <w:link w:val="FooterChar"/>
    <w:uiPriority w:val="99"/>
    <w:unhideWhenUsed/>
    <w:rsid w:val="00CD5A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5AAA"/>
  </w:style>
  <w:style w:type="character" w:styleId="CommentReference">
    <w:name w:val="annotation reference"/>
    <w:basedOn w:val="DefaultParagraphFont"/>
    <w:uiPriority w:val="99"/>
    <w:semiHidden/>
    <w:unhideWhenUsed/>
    <w:rsid w:val="007D4307"/>
    <w:rPr>
      <w:sz w:val="16"/>
      <w:szCs w:val="16"/>
    </w:rPr>
  </w:style>
  <w:style w:type="paragraph" w:styleId="CommentText">
    <w:name w:val="annotation text"/>
    <w:basedOn w:val="Normal"/>
    <w:link w:val="CommentTextChar"/>
    <w:uiPriority w:val="99"/>
    <w:semiHidden/>
    <w:unhideWhenUsed/>
    <w:rsid w:val="007D4307"/>
    <w:pPr>
      <w:spacing w:line="240" w:lineRule="auto"/>
    </w:pPr>
    <w:rPr>
      <w:sz w:val="20"/>
      <w:szCs w:val="20"/>
    </w:rPr>
  </w:style>
  <w:style w:type="character" w:customStyle="1" w:styleId="CommentTextChar">
    <w:name w:val="Comment Text Char"/>
    <w:basedOn w:val="DefaultParagraphFont"/>
    <w:link w:val="CommentText"/>
    <w:uiPriority w:val="99"/>
    <w:semiHidden/>
    <w:rsid w:val="007D4307"/>
    <w:rPr>
      <w:sz w:val="20"/>
      <w:szCs w:val="20"/>
    </w:rPr>
  </w:style>
  <w:style w:type="paragraph" w:styleId="CommentSubject">
    <w:name w:val="annotation subject"/>
    <w:basedOn w:val="CommentText"/>
    <w:next w:val="CommentText"/>
    <w:link w:val="CommentSubjectChar"/>
    <w:uiPriority w:val="99"/>
    <w:semiHidden/>
    <w:unhideWhenUsed/>
    <w:rsid w:val="007D4307"/>
    <w:rPr>
      <w:b/>
      <w:bCs/>
    </w:rPr>
  </w:style>
  <w:style w:type="character" w:customStyle="1" w:styleId="CommentSubjectChar">
    <w:name w:val="Comment Subject Char"/>
    <w:basedOn w:val="CommentTextChar"/>
    <w:link w:val="CommentSubject"/>
    <w:uiPriority w:val="99"/>
    <w:semiHidden/>
    <w:rsid w:val="007D4307"/>
    <w:rPr>
      <w:b/>
      <w:bCs/>
      <w:sz w:val="20"/>
      <w:szCs w:val="20"/>
    </w:rPr>
  </w:style>
  <w:style w:type="character" w:styleId="EndnoteReference">
    <w:name w:val="endnote reference"/>
    <w:basedOn w:val="DefaultParagraphFont"/>
    <w:uiPriority w:val="99"/>
    <w:semiHidden/>
    <w:unhideWhenUsed/>
    <w:rsid w:val="005D312C"/>
    <w:rPr>
      <w:vertAlign w:val="superscript"/>
    </w:rPr>
  </w:style>
  <w:style w:type="character" w:styleId="Hyperlink">
    <w:name w:val="Hyperlink"/>
    <w:basedOn w:val="DefaultParagraphFont"/>
    <w:uiPriority w:val="99"/>
    <w:unhideWhenUsed/>
    <w:rsid w:val="000B622E"/>
    <w:rPr>
      <w:color w:val="0563C1" w:themeColor="hyperlink"/>
      <w:u w:val="single"/>
    </w:rPr>
  </w:style>
  <w:style w:type="character" w:styleId="UnresolvedMention">
    <w:name w:val="Unresolved Mention"/>
    <w:basedOn w:val="DefaultParagraphFont"/>
    <w:uiPriority w:val="99"/>
    <w:semiHidden/>
    <w:unhideWhenUsed/>
    <w:rsid w:val="000B622E"/>
    <w:rPr>
      <w:color w:val="605E5C"/>
      <w:shd w:val="clear" w:color="auto" w:fill="E1DFDD"/>
    </w:rPr>
  </w:style>
  <w:style w:type="character" w:customStyle="1" w:styleId="current-selection">
    <w:name w:val="current-selection"/>
    <w:basedOn w:val="DefaultParagraphFont"/>
    <w:rsid w:val="003C1D76"/>
  </w:style>
  <w:style w:type="character" w:customStyle="1" w:styleId="search-result">
    <w:name w:val="search-result"/>
    <w:basedOn w:val="DefaultParagraphFont"/>
    <w:rsid w:val="003C1D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314463">
      <w:bodyDiv w:val="1"/>
      <w:marLeft w:val="0"/>
      <w:marRight w:val="0"/>
      <w:marTop w:val="0"/>
      <w:marBottom w:val="0"/>
      <w:divBdr>
        <w:top w:val="none" w:sz="0" w:space="0" w:color="auto"/>
        <w:left w:val="none" w:sz="0" w:space="0" w:color="auto"/>
        <w:bottom w:val="none" w:sz="0" w:space="0" w:color="auto"/>
        <w:right w:val="none" w:sz="0" w:space="0" w:color="auto"/>
      </w:divBdr>
      <w:divsChild>
        <w:div w:id="476797441">
          <w:marLeft w:val="0"/>
          <w:marRight w:val="0"/>
          <w:marTop w:val="0"/>
          <w:marBottom w:val="0"/>
          <w:divBdr>
            <w:top w:val="none" w:sz="0" w:space="0" w:color="auto"/>
            <w:left w:val="none" w:sz="0" w:space="0" w:color="auto"/>
            <w:bottom w:val="none" w:sz="0" w:space="0" w:color="auto"/>
            <w:right w:val="none" w:sz="0" w:space="0" w:color="auto"/>
          </w:divBdr>
        </w:div>
        <w:div w:id="2083406440">
          <w:marLeft w:val="0"/>
          <w:marRight w:val="0"/>
          <w:marTop w:val="0"/>
          <w:marBottom w:val="0"/>
          <w:divBdr>
            <w:top w:val="none" w:sz="0" w:space="0" w:color="auto"/>
            <w:left w:val="none" w:sz="0" w:space="0" w:color="auto"/>
            <w:bottom w:val="none" w:sz="0" w:space="0" w:color="auto"/>
            <w:right w:val="none" w:sz="0" w:space="0" w:color="auto"/>
          </w:divBdr>
        </w:div>
        <w:div w:id="490683466">
          <w:marLeft w:val="0"/>
          <w:marRight w:val="0"/>
          <w:marTop w:val="0"/>
          <w:marBottom w:val="0"/>
          <w:divBdr>
            <w:top w:val="none" w:sz="0" w:space="0" w:color="auto"/>
            <w:left w:val="none" w:sz="0" w:space="0" w:color="auto"/>
            <w:bottom w:val="none" w:sz="0" w:space="0" w:color="auto"/>
            <w:right w:val="none" w:sz="0" w:space="0" w:color="auto"/>
          </w:divBdr>
        </w:div>
      </w:divsChild>
    </w:div>
    <w:div w:id="1167399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762397-E21A-7A42-A740-C98053658A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31</Pages>
  <Words>7928</Words>
  <Characters>45354</Characters>
  <Application>Microsoft Office Word</Application>
  <DocSecurity>0</DocSecurity>
  <Lines>743</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Bachman</dc:creator>
  <cp:keywords/>
  <dc:description/>
  <cp:lastModifiedBy>Jack Holland</cp:lastModifiedBy>
  <cp:revision>3</cp:revision>
  <cp:lastPrinted>2018-12-10T20:54:00Z</cp:lastPrinted>
  <dcterms:created xsi:type="dcterms:W3CDTF">2019-04-10T10:31:00Z</dcterms:created>
  <dcterms:modified xsi:type="dcterms:W3CDTF">2019-04-10T10:34:00Z</dcterms:modified>
</cp:coreProperties>
</file>